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4E5F"/>
          <w:sz w:val="64"/>
          <w:szCs w:val="64"/>
        </w:rPr>
        <w:t xml:space="preserve">WillItTrade (WIT)</w:t>
      </w:r>
    </w:p>
    <w:p>
      <w:pPr>
        <w:spacing w:after="120"/>
        <w:jc w:val="center"/>
      </w:pPr>
      <w:r>
        <w:rPr>
          <w:rFonts w:ascii="Calibri" w:cs="Calibri" w:eastAsia="Calibri" w:hAnsi="Calibri"/>
          <w:color w:val="666666"/>
          <w:sz w:val="32"/>
          <w:szCs w:val="32"/>
        </w:rPr>
        <w:t xml:space="preserve">Product Requirements Document</w:t>
      </w:r>
    </w:p>
    <w:p>
      <w:pPr>
        <w:spacing w:after="80"/>
        <w:jc w:val="center"/>
      </w:pPr>
      <w:r>
        <w:rPr>
          <w:rFonts w:ascii="Calibri" w:cs="Calibri" w:eastAsia="Calibri" w:hAnsi="Calibri"/>
          <w:i/>
          <w:iCs/>
          <w:sz w:val="24"/>
          <w:szCs w:val="24"/>
        </w:rPr>
        <w:t xml:space="preserve">The private research workspace that turns trading ideas into reproducible evidence.</w:t>
      </w:r>
    </w:p>
    <w:p>
      <w:pPr>
        <w:spacing w:after="80"/>
        <w:jc w:val="center"/>
      </w:pPr>
      <w:r>
        <w:rPr>
          <w:rFonts w:ascii="Calibri" w:cs="Calibri" w:eastAsia="Calibri" w:hAnsi="Calibri"/>
          <w:i/>
          <w:iCs/>
          <w:color w:val="666666"/>
          <w:sz w:val="22"/>
          <w:szCs w:val="22"/>
        </w:rPr>
        <w:t xml:space="preserve">Build privately. Test rigorously. Improve systematically. Export confidently.</w:t>
      </w:r>
    </w:p>
    <w:p>
      <w:pPr>
        <w:spacing w:after="60" w:before="500"/>
        <w:jc w:val="center"/>
      </w:pPr>
      <w:r>
        <w:rPr>
          <w:rFonts w:ascii="Calibri" w:cs="Calibri" w:eastAsia="Calibri" w:hAnsi="Calibri"/>
          <w:color w:val="666666"/>
          <w:sz w:val="22"/>
          <w:szCs w:val="22"/>
        </w:rPr>
        <w:t xml:space="preserve">Version 2.0  •  July 30, 2026  •  supersedes v1.0 (same day)</w:t>
      </w:r>
    </w:p>
    <w:p>
      <w:pPr>
        <w:spacing w:after="60"/>
        <w:jc w:val="center"/>
      </w:pPr>
      <w:r>
        <w:rPr>
          <w:rFonts w:ascii="Calibri" w:cs="Calibri" w:eastAsia="Calibri" w:hAnsi="Calibri"/>
          <w:color w:val="666666"/>
          <w:sz w:val="22"/>
          <w:szCs w:val="22"/>
        </w:rPr>
        <w:t xml:space="preserve">Owner: Jim Mueller, Founder</w:t>
      </w:r>
    </w:p>
    <w:p>
      <w:pPr>
        <w:spacing w:after="0"/>
        <w:jc w:val="center"/>
      </w:pPr>
      <w:r>
        <w:rPr>
          <w:rFonts w:ascii="Calibri" w:cs="Calibri" w:eastAsia="Calibri" w:hAnsi="Calibri"/>
          <w:color w:val="666666"/>
          <w:sz w:val="20"/>
          <w:szCs w:val="20"/>
        </w:rPr>
        <w:t xml:space="preserve">Incorporates the founder’s Product Strategy, Community Growth, Privacy &amp; Continuous Improvement Blueprint</w:t>
      </w:r>
    </w:p>
    <w:p>
      <w:r>
        <w:br w:type="page"/>
      </w:r>
    </w:p>
    <w:p>
      <w:pPr>
        <w:spacing w:after="260"/>
      </w:pPr>
      <w:r>
        <w:rPr>
          <w:rFonts w:ascii="Calibri" w:cs="Calibri" w:eastAsia="Calibri" w:hAnsi="Calibri"/>
          <w:b/>
          <w:bCs/>
          <w:color w:val="1F4E5F"/>
          <w:sz w:val="28"/>
          <w:szCs w:val="28"/>
        </w:rPr>
        <w:t xml:space="preserve">Contents</w:t>
      </w:r>
    </w:p>
    <w:p>
      <w:pPr>
        <w:tabs>
          <w:tab w:val="right" w:pos="9360" w:leader="dot"/>
        </w:tabs>
        <w:spacing w:after="130" w:line="290"/>
      </w:pPr>
      <w:r>
        <w:rPr>
          <w:rFonts w:ascii="Calibri" w:cs="Calibri" w:eastAsia="Calibri" w:hAnsi="Calibri"/>
          <w:sz w:val="22"/>
          <w:szCs w:val="22"/>
        </w:rPr>
        <w:t xml:space="preserve">1. Executive Summary</w:t>
      </w:r>
      <w:r>
        <w:rPr>
          <w:rFonts w:ascii="Calibri" w:cs="Calibri" w:eastAsia="Calibri" w:hAnsi="Calibri"/>
          <w:sz w:val="22"/>
          <w:szCs w:val="22"/>
        </w:rPr>
        <w:tab/>
        <w:t xml:space="preserve">3</w:t>
      </w:r>
    </w:p>
    <w:p>
      <w:pPr>
        <w:tabs>
          <w:tab w:val="right" w:pos="9360" w:leader="dot"/>
        </w:tabs>
        <w:spacing w:after="130" w:line="290"/>
      </w:pPr>
      <w:r>
        <w:rPr>
          <w:rFonts w:ascii="Calibri" w:cs="Calibri" w:eastAsia="Calibri" w:hAnsi="Calibri"/>
          <w:sz w:val="22"/>
          <w:szCs w:val="22"/>
        </w:rPr>
        <w:t xml:space="preserve">2. The Problem</w:t>
      </w:r>
      <w:r>
        <w:rPr>
          <w:rFonts w:ascii="Calibri" w:cs="Calibri" w:eastAsia="Calibri" w:hAnsi="Calibri"/>
          <w:sz w:val="22"/>
          <w:szCs w:val="22"/>
        </w:rPr>
        <w:tab/>
        <w:t xml:space="preserve">3</w:t>
      </w:r>
    </w:p>
    <w:p>
      <w:pPr>
        <w:tabs>
          <w:tab w:val="right" w:pos="9360" w:leader="dot"/>
        </w:tabs>
        <w:spacing w:after="130" w:line="290"/>
      </w:pPr>
      <w:r>
        <w:rPr>
          <w:rFonts w:ascii="Calibri" w:cs="Calibri" w:eastAsia="Calibri" w:hAnsi="Calibri"/>
          <w:sz w:val="22"/>
          <w:szCs w:val="22"/>
        </w:rPr>
        <w:t xml:space="preserve">3. Positioning and Users</w:t>
      </w:r>
      <w:r>
        <w:rPr>
          <w:rFonts w:ascii="Calibri" w:cs="Calibri" w:eastAsia="Calibri" w:hAnsi="Calibri"/>
          <w:sz w:val="22"/>
          <w:szCs w:val="22"/>
        </w:rPr>
        <w:tab/>
        <w:t xml:space="preserve">3</w:t>
      </w:r>
    </w:p>
    <w:p>
      <w:pPr>
        <w:tabs>
          <w:tab w:val="right" w:pos="9360" w:leader="dot"/>
        </w:tabs>
        <w:spacing w:after="130" w:line="290"/>
      </w:pPr>
      <w:r>
        <w:rPr>
          <w:rFonts w:ascii="Calibri" w:cs="Calibri" w:eastAsia="Calibri" w:hAnsi="Calibri"/>
          <w:sz w:val="22"/>
          <w:szCs w:val="22"/>
        </w:rPr>
        <w:t xml:space="preserve">4. v1 — The Strategy Audit Product (launching first)</w:t>
      </w:r>
      <w:r>
        <w:rPr>
          <w:rFonts w:ascii="Calibri" w:cs="Calibri" w:eastAsia="Calibri" w:hAnsi="Calibri"/>
          <w:sz w:val="22"/>
          <w:szCs w:val="22"/>
        </w:rPr>
        <w:tab/>
        <w:t xml:space="preserve">4</w:t>
      </w:r>
    </w:p>
    <w:p>
      <w:pPr>
        <w:tabs>
          <w:tab w:val="right" w:pos="9360" w:leader="dot"/>
        </w:tabs>
        <w:spacing w:after="130" w:line="290"/>
      </w:pPr>
      <w:r>
        <w:rPr>
          <w:rFonts w:ascii="Calibri" w:cs="Calibri" w:eastAsia="Calibri" w:hAnsi="Calibri"/>
          <w:sz w:val="22"/>
          <w:szCs w:val="22"/>
        </w:rPr>
        <w:t xml:space="preserve">5. The Public Layer — Teaser Reports (decided)</w:t>
      </w:r>
      <w:r>
        <w:rPr>
          <w:rFonts w:ascii="Calibri" w:cs="Calibri" w:eastAsia="Calibri" w:hAnsi="Calibri"/>
          <w:sz w:val="22"/>
          <w:szCs w:val="22"/>
        </w:rPr>
        <w:tab/>
        <w:t xml:space="preserve">5</w:t>
      </w:r>
    </w:p>
    <w:p>
      <w:pPr>
        <w:tabs>
          <w:tab w:val="right" w:pos="9360" w:leader="dot"/>
        </w:tabs>
        <w:spacing w:after="130" w:line="290"/>
      </w:pPr>
      <w:r>
        <w:rPr>
          <w:rFonts w:ascii="Calibri" w:cs="Calibri" w:eastAsia="Calibri" w:hAnsi="Calibri"/>
          <w:sz w:val="22"/>
          <w:szCs w:val="22"/>
        </w:rPr>
        <w:t xml:space="preserve">6. v2 — The Private Strategy Workspace</w:t>
      </w:r>
      <w:r>
        <w:rPr>
          <w:rFonts w:ascii="Calibri" w:cs="Calibri" w:eastAsia="Calibri" w:hAnsi="Calibri"/>
          <w:sz w:val="22"/>
          <w:szCs w:val="22"/>
        </w:rPr>
        <w:tab/>
        <w:t xml:space="preserve">5</w:t>
      </w:r>
    </w:p>
    <w:p>
      <w:pPr>
        <w:tabs>
          <w:tab w:val="right" w:pos="9360" w:leader="dot"/>
        </w:tabs>
        <w:spacing w:after="130" w:line="290"/>
      </w:pPr>
      <w:r>
        <w:rPr>
          <w:rFonts w:ascii="Calibri" w:cs="Calibri" w:eastAsia="Calibri" w:hAnsi="Calibri"/>
          <w:sz w:val="22"/>
          <w:szCs w:val="22"/>
        </w:rPr>
        <w:t xml:space="preserve">7. Pine Script Generation and Export (paid, later phase)</w:t>
      </w:r>
      <w:r>
        <w:rPr>
          <w:rFonts w:ascii="Calibri" w:cs="Calibri" w:eastAsia="Calibri" w:hAnsi="Calibri"/>
          <w:sz w:val="22"/>
          <w:szCs w:val="22"/>
        </w:rPr>
        <w:tab/>
        <w:t xml:space="preserve">6</w:t>
      </w:r>
    </w:p>
    <w:p>
      <w:pPr>
        <w:tabs>
          <w:tab w:val="right" w:pos="9360" w:leader="dot"/>
        </w:tabs>
        <w:spacing w:after="130" w:line="290"/>
      </w:pPr>
      <w:r>
        <w:rPr>
          <w:rFonts w:ascii="Calibri" w:cs="Calibri" w:eastAsia="Calibri" w:hAnsi="Calibri"/>
          <w:sz w:val="22"/>
          <w:szCs w:val="22"/>
        </w:rPr>
        <w:t xml:space="preserve">8. Privacy, Security, and Trust</w:t>
      </w:r>
      <w:r>
        <w:rPr>
          <w:rFonts w:ascii="Calibri" w:cs="Calibri" w:eastAsia="Calibri" w:hAnsi="Calibri"/>
          <w:sz w:val="22"/>
          <w:szCs w:val="22"/>
        </w:rPr>
        <w:tab/>
        <w:t xml:space="preserve">7</w:t>
      </w:r>
    </w:p>
    <w:p>
      <w:pPr>
        <w:tabs>
          <w:tab w:val="right" w:pos="9360" w:leader="dot"/>
        </w:tabs>
        <w:spacing w:after="130" w:line="290"/>
      </w:pPr>
      <w:r>
        <w:rPr>
          <w:rFonts w:ascii="Calibri" w:cs="Calibri" w:eastAsia="Calibri" w:hAnsi="Calibri"/>
          <w:sz w:val="22"/>
          <w:szCs w:val="22"/>
        </w:rPr>
        <w:t xml:space="preserve">9. Continuous Quality Improvement</w:t>
      </w:r>
      <w:r>
        <w:rPr>
          <w:rFonts w:ascii="Calibri" w:cs="Calibri" w:eastAsia="Calibri" w:hAnsi="Calibri"/>
          <w:sz w:val="22"/>
          <w:szCs w:val="22"/>
        </w:rPr>
        <w:tab/>
        <w:t xml:space="preserve">7</w:t>
      </w:r>
    </w:p>
    <w:p>
      <w:pPr>
        <w:tabs>
          <w:tab w:val="right" w:pos="9360" w:leader="dot"/>
        </w:tabs>
        <w:spacing w:after="130" w:line="290"/>
      </w:pPr>
      <w:r>
        <w:rPr>
          <w:rFonts w:ascii="Calibri" w:cs="Calibri" w:eastAsia="Calibri" w:hAnsi="Calibri"/>
          <w:sz w:val="22"/>
          <w:szCs w:val="22"/>
        </w:rPr>
        <w:t xml:space="preserve">10. Community and Publishing (future, voluntary)</w:t>
      </w:r>
      <w:r>
        <w:rPr>
          <w:rFonts w:ascii="Calibri" w:cs="Calibri" w:eastAsia="Calibri" w:hAnsi="Calibri"/>
          <w:sz w:val="22"/>
          <w:szCs w:val="22"/>
        </w:rPr>
        <w:tab/>
        <w:t xml:space="preserve">7</w:t>
      </w:r>
    </w:p>
    <w:p>
      <w:pPr>
        <w:tabs>
          <w:tab w:val="right" w:pos="9360" w:leader="dot"/>
        </w:tabs>
        <w:spacing w:after="130" w:line="290"/>
      </w:pPr>
      <w:r>
        <w:rPr>
          <w:rFonts w:ascii="Calibri" w:cs="Calibri" w:eastAsia="Calibri" w:hAnsi="Calibri"/>
          <w:sz w:val="22"/>
          <w:szCs w:val="22"/>
        </w:rPr>
        <w:t xml:space="preserve">11. Differentiation and Moat</w:t>
      </w:r>
      <w:r>
        <w:rPr>
          <w:rFonts w:ascii="Calibri" w:cs="Calibri" w:eastAsia="Calibri" w:hAnsi="Calibri"/>
          <w:sz w:val="22"/>
          <w:szCs w:val="22"/>
        </w:rPr>
        <w:tab/>
        <w:t xml:space="preserve">8</w:t>
      </w:r>
    </w:p>
    <w:p>
      <w:pPr>
        <w:tabs>
          <w:tab w:val="right" w:pos="9360" w:leader="dot"/>
        </w:tabs>
        <w:spacing w:after="130" w:line="290"/>
      </w:pPr>
      <w:r>
        <w:rPr>
          <w:rFonts w:ascii="Calibri" w:cs="Calibri" w:eastAsia="Calibri" w:hAnsi="Calibri"/>
          <w:sz w:val="22"/>
          <w:szCs w:val="22"/>
        </w:rPr>
        <w:t xml:space="preserve">12. Pricing (v1 hypothesis, to validate)</w:t>
      </w:r>
      <w:r>
        <w:rPr>
          <w:rFonts w:ascii="Calibri" w:cs="Calibri" w:eastAsia="Calibri" w:hAnsi="Calibri"/>
          <w:sz w:val="22"/>
          <w:szCs w:val="22"/>
        </w:rPr>
        <w:tab/>
        <w:t xml:space="preserve">8</w:t>
      </w:r>
    </w:p>
    <w:p>
      <w:pPr>
        <w:tabs>
          <w:tab w:val="right" w:pos="9360" w:leader="dot"/>
        </w:tabs>
        <w:spacing w:after="130" w:line="290"/>
      </w:pPr>
      <w:r>
        <w:rPr>
          <w:rFonts w:ascii="Calibri" w:cs="Calibri" w:eastAsia="Calibri" w:hAnsi="Calibri"/>
          <w:sz w:val="22"/>
          <w:szCs w:val="22"/>
        </w:rPr>
        <w:t xml:space="preserve">13. Explicitly Out of Scope</w:t>
      </w:r>
      <w:r>
        <w:rPr>
          <w:rFonts w:ascii="Calibri" w:cs="Calibri" w:eastAsia="Calibri" w:hAnsi="Calibri"/>
          <w:sz w:val="22"/>
          <w:szCs w:val="22"/>
        </w:rPr>
        <w:tab/>
        <w:t xml:space="preserve">8</w:t>
      </w:r>
    </w:p>
    <w:p>
      <w:pPr>
        <w:tabs>
          <w:tab w:val="right" w:pos="9360" w:leader="dot"/>
        </w:tabs>
        <w:spacing w:after="130" w:line="290"/>
      </w:pPr>
      <w:r>
        <w:rPr>
          <w:rFonts w:ascii="Calibri" w:cs="Calibri" w:eastAsia="Calibri" w:hAnsi="Calibri"/>
          <w:sz w:val="22"/>
          <w:szCs w:val="22"/>
        </w:rPr>
        <w:t xml:space="preserve">14. Architecture (plain English)</w:t>
      </w:r>
      <w:r>
        <w:rPr>
          <w:rFonts w:ascii="Calibri" w:cs="Calibri" w:eastAsia="Calibri" w:hAnsi="Calibri"/>
          <w:sz w:val="22"/>
          <w:szCs w:val="22"/>
        </w:rPr>
        <w:tab/>
        <w:t xml:space="preserve">9</w:t>
      </w:r>
    </w:p>
    <w:p>
      <w:pPr>
        <w:tabs>
          <w:tab w:val="right" w:pos="9360" w:leader="dot"/>
        </w:tabs>
        <w:spacing w:after="130" w:line="290"/>
      </w:pPr>
      <w:r>
        <w:rPr>
          <w:rFonts w:ascii="Calibri" w:cs="Calibri" w:eastAsia="Calibri" w:hAnsi="Calibri"/>
          <w:sz w:val="22"/>
          <w:szCs w:val="22"/>
        </w:rPr>
        <w:t xml:space="preserve">15. Roadmap</w:t>
      </w:r>
      <w:r>
        <w:rPr>
          <w:rFonts w:ascii="Calibri" w:cs="Calibri" w:eastAsia="Calibri" w:hAnsi="Calibri"/>
          <w:sz w:val="22"/>
          <w:szCs w:val="22"/>
        </w:rPr>
        <w:tab/>
        <w:t xml:space="preserve">9</w:t>
      </w:r>
    </w:p>
    <w:p>
      <w:pPr>
        <w:tabs>
          <w:tab w:val="right" w:pos="9360" w:leader="dot"/>
        </w:tabs>
        <w:spacing w:after="130" w:line="290"/>
      </w:pPr>
      <w:r>
        <w:rPr>
          <w:rFonts w:ascii="Calibri" w:cs="Calibri" w:eastAsia="Calibri" w:hAnsi="Calibri"/>
          <w:sz w:val="22"/>
          <w:szCs w:val="22"/>
        </w:rPr>
        <w:t xml:space="preserve">16. Launch Gates and Open Items (v1)</w:t>
      </w:r>
      <w:r>
        <w:rPr>
          <w:rFonts w:ascii="Calibri" w:cs="Calibri" w:eastAsia="Calibri" w:hAnsi="Calibri"/>
          <w:sz w:val="22"/>
          <w:szCs w:val="22"/>
        </w:rPr>
        <w:tab/>
        <w:t xml:space="preserve">9</w:t>
      </w:r>
    </w:p>
    <w:p>
      <w:pPr>
        <w:tabs>
          <w:tab w:val="right" w:pos="9360" w:leader="dot"/>
        </w:tabs>
        <w:spacing w:after="130" w:line="290"/>
      </w:pPr>
      <w:r>
        <w:rPr>
          <w:rFonts w:ascii="Calibri" w:cs="Calibri" w:eastAsia="Calibri" w:hAnsi="Calibri"/>
          <w:sz w:val="22"/>
          <w:szCs w:val="22"/>
        </w:rPr>
        <w:t xml:space="preserve">17. Risks and Guardrails</w:t>
      </w:r>
      <w:r>
        <w:rPr>
          <w:rFonts w:ascii="Calibri" w:cs="Calibri" w:eastAsia="Calibri" w:hAnsi="Calibri"/>
          <w:sz w:val="22"/>
          <w:szCs w:val="22"/>
        </w:rPr>
        <w:tab/>
        <w:t xml:space="preserve">10</w:t>
      </w:r>
    </w:p>
    <w:p>
      <w:pPr>
        <w:tabs>
          <w:tab w:val="right" w:pos="9360" w:leader="dot"/>
        </w:tabs>
        <w:spacing w:after="130" w:line="290"/>
      </w:pPr>
      <w:r>
        <w:rPr>
          <w:rFonts w:ascii="Calibri" w:cs="Calibri" w:eastAsia="Calibri" w:hAnsi="Calibri"/>
          <w:sz w:val="22"/>
          <w:szCs w:val="22"/>
        </w:rPr>
        <w:t xml:space="preserve">18. Success Metrics</w:t>
      </w:r>
      <w:r>
        <w:rPr>
          <w:rFonts w:ascii="Calibri" w:cs="Calibri" w:eastAsia="Calibri" w:hAnsi="Calibri"/>
          <w:sz w:val="22"/>
          <w:szCs w:val="22"/>
        </w:rPr>
        <w:tab/>
        <w:t xml:space="preserve">11</w:t>
      </w:r>
    </w:p>
    <w:p>
      <w:r>
        <w:br w:type="page"/>
      </w:r>
    </w:p>
    <w:p>
      <w:pPr>
        <w:pStyle w:val="Heading1"/>
        <w:spacing w:after="200" w:before="360"/>
      </w:pPr>
      <w:r>
        <w:rPr>
          <w:rFonts w:ascii="Calibri" w:cs="Calibri" w:eastAsia="Calibri" w:hAnsi="Calibri"/>
          <w:b/>
          <w:bCs/>
          <w:color w:val="1F4E5F"/>
          <w:sz w:val="30"/>
          <w:szCs w:val="30"/>
        </w:rPr>
        <w:t xml:space="preserve">1. Executive Summary</w:t>
      </w:r>
    </w:p>
    <w:p>
      <w:pPr>
        <w:spacing w:after="160" w:line="300"/>
      </w:pPr>
      <w:r>
        <w:rPr>
          <w:rFonts w:ascii="Calibri" w:cs="Calibri" w:eastAsia="Calibri" w:hAnsi="Calibri"/>
          <w:sz w:val="22"/>
          <w:szCs w:val="22"/>
        </w:rPr>
        <w:t xml:space="preserve">WillItTrade (WIT) is a subscription web platform for retail traders built around one discipline: trading ideas deserve evidence, not opinions. It launches as a strategy audit product — drop in a YouTube trading video and get the data’s verdict, computed by a real backtesting engine over 18 years of S&amp;P 500 futures history — and grows into a private strategy research workspace where users create, test, improve, and export their own strategies.</w:t>
      </w:r>
    </w:p>
    <w:p>
      <w:pPr>
        <w:spacing w:after="160" w:line="300"/>
      </w:pPr>
      <w:r>
        <w:rPr>
          <w:rFonts w:ascii="Calibri" w:cs="Calibri" w:eastAsia="Calibri" w:hAnsi="Calibri"/>
          <w:sz w:val="22"/>
          <w:szCs w:val="22"/>
        </w:rPr>
        <w:t xml:space="preserve">The defining question the product answers is not “what did this backtest return?” but: does this strategy have a genuine, durable statistical edge — or is the result likely due to randomness, overfitting, or a narrow market regime? A basic backtester reports performance. WIT explains whether the result deserves belief, what assumptions produced it, where it is fragile, and what experiment to run next.</w:t>
      </w:r>
    </w:p>
    <w:p>
      <w:pPr>
        <w:spacing w:after="160" w:line="300"/>
      </w:pPr>
      <w:r>
        <w:rPr>
          <w:rFonts w:ascii="Calibri" w:cs="Calibri" w:eastAsia="Calibri" w:hAnsi="Calibri"/>
          <w:b/>
          <w:bCs/>
          <w:sz w:val="22"/>
          <w:szCs w:val="22"/>
        </w:rPr>
        <w:t xml:space="preserve">Where the product stands: the audit pipeline works end to end in production. </w:t>
      </w:r>
      <w:r>
        <w:rPr>
          <w:rFonts w:ascii="Calibri" w:cs="Calibri" w:eastAsia="Calibri" w:hAnsi="Calibri"/>
          <w:sz w:val="22"/>
          <w:szCs w:val="22"/>
        </w:rPr>
        <w:t xml:space="preserve">On July 29, 2026, a YouTube link submitted through the app produced a complete audit unassisted — transcript fetched, strategy read by a three-reader AI ensemble, mapped, backtested over the full 18-year window (4,158 simulated trades), stored, and drafted into a report. The decided sequencing (July 30, 2026): finish and launch the v1 audit product first; build the strategy workspace as v2 on the same foundations. This document specifies both.</w:t>
      </w:r>
    </w:p>
    <w:p>
      <w:pPr>
        <w:spacing w:after="160" w:line="300"/>
      </w:pPr>
      <w:r>
        <w:rPr>
          <w:rFonts w:ascii="Calibri" w:cs="Calibri" w:eastAsia="Calibri" w:hAnsi="Calibri"/>
          <w:sz w:val="22"/>
          <w:szCs w:val="22"/>
        </w:rPr>
        <w:t xml:space="preserve">Four capabilities reinforce each other: public research pages that build authority without giving the analysis away; a guided strategy builder for non-programmers; a privacy-first personal workspace; and a continuous improvement system that learns from outcomes without ever reusing private strategy content. Public verification attracts users, private strategy development converts them, rigorous testing retains them, and telemetry steadily improves quality.</w:t>
      </w:r>
    </w:p>
    <w:p>
      <w:pPr>
        <w:pStyle w:val="Heading1"/>
        <w:spacing w:after="200" w:before="360"/>
      </w:pPr>
      <w:r>
        <w:rPr>
          <w:rFonts w:ascii="Calibri" w:cs="Calibri" w:eastAsia="Calibri" w:hAnsi="Calibri"/>
          <w:b/>
          <w:bCs/>
          <w:color w:val="1F4E5F"/>
          <w:sz w:val="30"/>
          <w:szCs w:val="30"/>
        </w:rPr>
        <w:t xml:space="preserve">2. The Problem</w:t>
      </w:r>
    </w:p>
    <w:p>
      <w:pPr>
        <w:spacing w:after="160" w:line="300"/>
      </w:pPr>
      <w:r>
        <w:rPr>
          <w:rFonts w:ascii="Calibri" w:cs="Calibri" w:eastAsia="Calibri" w:hAnsi="Calibri"/>
          <w:sz w:val="22"/>
          <w:szCs w:val="22"/>
        </w:rPr>
        <w:t xml:space="preserve">Retail traders learn strategies from YouTube. Those videos almost never contain real evidence: no statistics, cherry-picked examples, and claims (“proven 10-year backtest”) that are never shown. Beginners cannot tell a real edge from a sales funnel — and when they try to test or improve an idea themselves, they hit a second wall: they cannot reliably translate ideas into code, and naive parameter-tweaking produces overfit “improvements” that fail on future data.</w:t>
      </w:r>
    </w:p>
    <w:p>
      <w:pPr>
        <w:spacing w:after="160" w:line="300"/>
      </w:pPr>
      <w:r>
        <w:rPr>
          <w:rFonts w:ascii="Calibri" w:cs="Calibri" w:eastAsia="Calibri" w:hAnsi="Calibri"/>
          <w:sz w:val="22"/>
          <w:szCs w:val="22"/>
        </w:rPr>
        <w:t xml:space="preserve">Existing “AI trade evaluation” products score submissions with an AI’s opinion. They never touch market data and cannot verify any claim. In a documented probe (July 2026), a leading competitor rated a statistically validated, positive-expectancy strategy 2/10 “AVOID” without touching a single bar of data. The market leader is structurally credulous; WIT is structurally skeptical. Ordinary backtesters have the opposite gap: they run the numbers but say nothing about whether the numbers deserve belief.</w:t>
      </w:r>
    </w:p>
    <w:p>
      <w:pPr>
        <w:pStyle w:val="Heading1"/>
        <w:spacing w:after="200" w:before="360"/>
      </w:pPr>
      <w:r>
        <w:rPr>
          <w:rFonts w:ascii="Calibri" w:cs="Calibri" w:eastAsia="Calibri" w:hAnsi="Calibri"/>
          <w:b/>
          <w:bCs/>
          <w:color w:val="1F4E5F"/>
          <w:sz w:val="30"/>
          <w:szCs w:val="30"/>
        </w:rPr>
        <w:t xml:space="preserve">3. Positioning and Users</w:t>
      </w:r>
    </w:p>
    <w:p>
      <w:pPr>
        <w:spacing w:after="160" w:line="300"/>
      </w:pPr>
      <w:r>
        <w:rPr>
          <w:rFonts w:ascii="Calibri" w:cs="Calibri" w:eastAsia="Calibri" w:hAnsi="Calibri"/>
          <w:sz w:val="22"/>
          <w:szCs w:val="22"/>
        </w:rPr>
        <w:t xml:space="preserve">Positioning: WillItTrade is the private research workspace that turns trading ideas into reproducible evidence and production-ready TradingView strategies. The audit brand line remains: the AI reads the video; the lab renders the verdict. AI is used only for reading and structuring language — every number is computed by a deterministic, audited engine.</w:t>
      </w:r>
    </w:p>
    <w:p>
      <w:pPr>
        <w:pStyle w:val="ListParagraph"/>
        <w:numPr>
          <w:ilvl w:val="0"/>
          <w:numId w:val="2"/>
        </w:numPr>
        <w:spacing w:after="100" w:line="290"/>
      </w:pPr>
      <w:r>
        <w:rPr>
          <w:rFonts w:ascii="Calibri" w:cs="Calibri" w:eastAsia="Calibri" w:hAnsi="Calibri"/>
          <w:sz w:val="22"/>
          <w:szCs w:val="22"/>
        </w:rPr>
        <w:t xml:space="preserve">v1 primary user: beginner and intermediate retail futures and index traders who watch strategy YouTube. They arrive from a shared verdict card or a public research page found through search.</w:t>
      </w:r>
    </w:p>
    <w:p>
      <w:pPr>
        <w:pStyle w:val="ListParagraph"/>
        <w:numPr>
          <w:ilvl w:val="0"/>
          <w:numId w:val="2"/>
        </w:numPr>
        <w:spacing w:after="100" w:line="290"/>
      </w:pPr>
      <w:r>
        <w:rPr>
          <w:rFonts w:ascii="Calibri" w:cs="Calibri" w:eastAsia="Calibri" w:hAnsi="Calibri"/>
          <w:sz w:val="22"/>
          <w:szCs w:val="22"/>
        </w:rPr>
        <w:t xml:space="preserve">v2 expanded user: traders with ideas of their own who cannot reliably turn them into code — the strategy builder broadens the market from “verify someone else’s claim” to “engineer my own edge.”</w:t>
      </w:r>
    </w:p>
    <w:p>
      <w:pPr>
        <w:spacing w:after="160" w:line="300"/>
      </w:pPr>
      <w:r>
        <w:rPr>
          <w:rFonts w:ascii="Calibri" w:cs="Calibri" w:eastAsia="Calibri" w:hAnsi="Calibri"/>
          <w:sz w:val="22"/>
          <w:szCs w:val="22"/>
        </w:rPr>
        <w:t xml:space="preserve">Core loop (v1): see a shared verdict card or find a public teaser report → read it → create an account to test a video of their own → hit the monthly meter → subscribe. Core loop (v2 adds): import or build a strategy privately → baseline it → run controlled experiments → export the chosen version to TradingView → return because the research record lives here.</w:t>
      </w:r>
    </w:p>
    <w:p>
      <w:pPr>
        <w:pStyle w:val="Heading1"/>
        <w:spacing w:after="200" w:before="360"/>
      </w:pPr>
      <w:r>
        <w:rPr>
          <w:rFonts w:ascii="Calibri" w:cs="Calibri" w:eastAsia="Calibri" w:hAnsi="Calibri"/>
          <w:b/>
          <w:bCs/>
          <w:color w:val="1F4E5F"/>
          <w:sz w:val="30"/>
          <w:szCs w:val="30"/>
        </w:rPr>
        <w:t xml:space="preserve">4. v1 — The Strategy Audit Product (launching first)</w:t>
      </w:r>
    </w:p>
    <w:p>
      <w:pPr>
        <w:spacing w:after="160" w:line="300"/>
      </w:pPr>
      <w:r>
        <w:rPr>
          <w:rFonts w:ascii="Calibri" w:cs="Calibri" w:eastAsia="Calibri" w:hAnsi="Calibri"/>
          <w:sz w:val="22"/>
          <w:szCs w:val="22"/>
        </w:rPr>
        <w:t xml:space="preserve">From the user’s point of view: paste a YouTube link or transcript, watch real progress stages, receive an audit in minutes. The pipeline: transcript ingestion (native captions, plus video title/channel/thumbnail) → three independent AI readings vote the strategy into a standardized template, with disagreements recorded and fabricated quotes mechanically rejected → completeness scoring shows what the video actually specified versus left vague → routing by testability class → the lab runs it → a draft strategy audit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Testability class</w:t>
            </w:r>
          </w:p>
        </w:tc>
        <w:tc>
          <w:tcPr>
            <w:tcW w:type="dxa" w:w="556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What the lab does</w:t>
            </w:r>
          </w:p>
        </w:tc>
      </w:tr>
      <w:tr>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Class A — complete mechanical strategy</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Full costed backtest over 18 years of ES 5-minute data (1-minute data for intraday profile work), applying documented default assumptions and disclosing every one.</w:t>
            </w:r>
          </w:p>
        </w:tc>
      </w:tr>
      <w:tr>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Class B — testable claim inside a discretionary framework</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Event study: conditional statistics on the specific claim.</w:t>
            </w:r>
          </w:p>
        </w:tc>
      </w:tr>
      <w:tr>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Class C — pure discretion</w:t>
            </w:r>
          </w:p>
        </w:tc>
        <w:tc>
          <w:tcPr>
            <w:tcW w:type="dxa" w:w="55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An honest “untestable as stated” report explaining exactly why, component by component.</w:t>
            </w:r>
          </w:p>
        </w:tc>
      </w:tr>
    </w:tbl>
    <w:p>
      <w:pPr>
        <w:spacing w:after="120"/>
      </w:pPr>
    </w:p>
    <w:p>
      <w:pPr>
        <w:spacing w:after="160" w:line="300"/>
      </w:pPr>
      <w:r>
        <w:rPr>
          <w:rFonts w:ascii="Calibri" w:cs="Calibri" w:eastAsia="Calibri" w:hAnsi="Calibri"/>
          <w:sz w:val="22"/>
          <w:szCs w:val="22"/>
        </w:rPr>
        <w:t xml:space="preserve">Verdicts are three: Tested — evidence of edge (rare, with effect size and confidence context); Tested — no edge / inconclusive (the honest common case, never dressed up); and Untestable as stated (itself educational — users learn what a complete strategy even is). Reports never mock the creator, publish the interpretation that was tested, and invite correction. When a simulated account would have been margin-called in reality, the audit must say so.</w:t>
      </w:r>
    </w:p>
    <w:p>
      <w:pPr>
        <w:pStyle w:val="Heading2"/>
        <w:spacing w:after="140" w:before="260"/>
      </w:pPr>
      <w:r>
        <w:rPr>
          <w:rFonts w:ascii="Calibri" w:cs="Calibri" w:eastAsia="Calibri" w:hAnsi="Calibri"/>
          <w:b/>
          <w:bCs/>
          <w:color w:val="1F4E5F"/>
          <w:sz w:val="25"/>
          <w:szCs w:val="25"/>
        </w:rPr>
        <w:t xml:space="preserve">v1 feature status (as of July 30,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w:trPr>
          <w:tblHeader/>
        </w:trPr>
        <w:tc>
          <w:tcPr>
            <w:tcW w:type="dxa" w:w="66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Feature</w:t>
            </w:r>
          </w:p>
        </w:tc>
        <w:tc>
          <w:tcPr>
            <w:tcW w:type="dxa" w:w="30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Status</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YouTube link submission with automatic transcript fetch; pasted transcripts</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Live</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Accounts (email + Google), email verification required</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Live</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Ensemble extraction, completeness scoring, class routing</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Live</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Full 18-year costed backtests and event studies; results card with daily equity curve</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Live</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User dashboard; self-healing job pipeline; video metadata capture</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Live</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Reviewer screen + publish workflow (editorial gate)</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 build — last piece before launch content</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Public teaser library pages + shareable verdict cards</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Next, after reviewer screen</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Pricing, metering, Stripe billing</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Before launch; usage already recorded</w:t>
            </w:r>
          </w:p>
        </w:tc>
      </w:tr>
      <w:tr>
        <w:tc>
          <w:tcPr>
            <w:tcW w:type="dxa" w:w="6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Safe user-facing audit delete (server-checked)</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Designed; after reviewer screen</w:t>
            </w:r>
          </w:p>
        </w:tc>
      </w:tr>
    </w:tbl>
    <w:p>
      <w:pPr>
        <w:pStyle w:val="Heading1"/>
        <w:spacing w:after="200" w:before="360"/>
      </w:pPr>
      <w:r>
        <w:rPr>
          <w:rFonts w:ascii="Calibri" w:cs="Calibri" w:eastAsia="Calibri" w:hAnsi="Calibri"/>
          <w:b/>
          <w:bCs/>
          <w:color w:val="1F4E5F"/>
          <w:sz w:val="30"/>
          <w:szCs w:val="30"/>
        </w:rPr>
        <w:t xml:space="preserve">5. The Public Layer — Teaser Reports (decided)</w:t>
      </w:r>
    </w:p>
    <w:p>
      <w:pPr>
        <w:spacing w:after="160" w:line="300"/>
      </w:pPr>
      <w:r>
        <w:rPr>
          <w:rFonts w:ascii="Calibri" w:cs="Calibri" w:eastAsia="Calibri" w:hAnsi="Calibri"/>
          <w:sz w:val="22"/>
          <w:szCs w:val="22"/>
        </w:rPr>
        <w:t xml:space="preserve">Decision (July 30, 2026): public pages follow the teaser-plus-proof model. A public report contains the strategy or video title with a link to the original claim, a concise statement of the claimed rules, a clear verdict, a limited set of headline metrics (trade count, win rate, profit factor, simplified equity curve), a short explanation of the most important reason for the verdict, and a permanent shareable URL. The signed-in and paid experience reserves the depth: full trade data, assumptions, sensitivity and robustness analysis, regime breakdowns, confidence intervals, suggested experiments, and exportable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6" w:val="clear"/>
            <w:tcMar>
              <w:top w:type="dxa" w:w="120"/>
              <w:left w:type="dxa" w:w="160"/>
              <w:bottom w:type="dxa" w:w="120"/>
              <w:right w:type="dxa" w:w="160"/>
            </w:tcMar>
          </w:tcPr>
          <w:p>
            <w:pPr>
              <w:spacing w:after="60"/>
            </w:pPr>
            <w:r>
              <w:rPr>
                <w:rFonts w:ascii="Calibri" w:cs="Calibri" w:eastAsia="Calibri" w:hAnsi="Calibri"/>
                <w:b/>
                <w:bCs/>
                <w:color w:val="1F4E5F"/>
                <w:sz w:val="21"/>
                <w:szCs w:val="21"/>
              </w:rPr>
              <w:t xml:space="preserve">Public-page rule</w:t>
            </w:r>
          </w:p>
          <w:p>
            <w:pPr>
              <w:spacing w:after="0" w:line="290"/>
            </w:pPr>
            <w:r>
              <w:rPr>
                <w:rFonts w:ascii="Calibri" w:cs="Calibri" w:eastAsia="Calibri" w:hAnsi="Calibri"/>
                <w:sz w:val="22"/>
                <w:szCs w:val="22"/>
              </w:rPr>
              <w:t xml:space="preserve">The public page answers “Should I be skeptical or interested?” The private product answers “Exactly why, what changed, and what should I test next?”</w:t>
            </w:r>
          </w:p>
        </w:tc>
      </w:tr>
    </w:tbl>
    <w:p>
      <w:pPr>
        <w:spacing w:after="120"/>
      </w:pPr>
    </w:p>
    <w:p>
      <w:pPr>
        <w:spacing w:after="160" w:line="300"/>
      </w:pPr>
      <w:r>
        <w:rPr>
          <w:rFonts w:ascii="Calibri" w:cs="Calibri" w:eastAsia="Calibri" w:hAnsi="Calibri"/>
          <w:sz w:val="22"/>
          <w:szCs w:val="22"/>
        </w:rPr>
        <w:t xml:space="preserve">Nothing reaches the public library automatically. Every audit is drafted by the machine and published by a human reviewer through a private review screen showing the draft beside the evidence needed to judge it (AI reader agreement, applied assumptions, unspecified components, source metadata). The database enforces that only published reports are publicly readable; there is no code path around the editorial gate. The reviewer role is the founder today, extendable to future curators. Launch seeds the library with 5–10 audits of famous strategies, published only after the data-licence and transcript-IP launch gates clear.</w:t>
      </w:r>
    </w:p>
    <w:p>
      <w:pPr>
        <w:pStyle w:val="Heading1"/>
        <w:spacing w:after="200" w:before="360"/>
      </w:pPr>
      <w:r>
        <w:rPr>
          <w:rFonts w:ascii="Calibri" w:cs="Calibri" w:eastAsia="Calibri" w:hAnsi="Calibri"/>
          <w:b/>
          <w:bCs/>
          <w:color w:val="1F4E5F"/>
          <w:sz w:val="30"/>
          <w:szCs w:val="30"/>
        </w:rPr>
        <w:t xml:space="preserve">6. v2 — The Private Strategy Workspace</w:t>
      </w:r>
    </w:p>
    <w:p>
      <w:pPr>
        <w:spacing w:after="160" w:line="300"/>
      </w:pPr>
      <w:r>
        <w:rPr>
          <w:rFonts w:ascii="Calibri" w:cs="Calibri" w:eastAsia="Calibri" w:hAnsi="Calibri"/>
          <w:sz w:val="22"/>
          <w:szCs w:val="22"/>
        </w:rPr>
        <w:t xml:space="preserve">v2 turns WIT from a strategy verifier into a strategy engineering platform. Every pasted, created, or revised strategy enters a private workspace by default — private to the account, not searchable, not public, never reused for other users, never used to train shared models without explicit opt-in. Privacy is visible in the interface, not buried in terms of service.</w:t>
      </w:r>
    </w:p>
    <w:p>
      <w:pPr>
        <w:pStyle w:val="Heading2"/>
        <w:spacing w:after="140" w:before="260"/>
      </w:pPr>
      <w:r>
        <w:rPr>
          <w:rFonts w:ascii="Calibri" w:cs="Calibri" w:eastAsia="Calibri" w:hAnsi="Calibri"/>
          <w:b/>
          <w:bCs/>
          <w:color w:val="1F4E5F"/>
          <w:sz w:val="25"/>
          <w:szCs w:val="25"/>
        </w:rPr>
        <w:t xml:space="preserve">Three creation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Mode</w:t>
            </w:r>
          </w:p>
        </w:tc>
        <w:tc>
          <w:tcPr>
            <w:tcW w:type="dxa" w:w="596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Purpose</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Template-based builder (built first)</w:t>
            </w:r>
          </w:p>
        </w:tc>
        <w:tc>
          <w:tcPr>
            <w:tcW w:type="dxa" w:w="5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Users select entry, filter, risk, exit, session, and trade-frequency rules from guided components. Deterministic and easiest to validate — and it reuses the same strategy template that powers audit extraction: one shared backbone, two front doors.</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Plain-English strategy design</w:t>
            </w:r>
          </w:p>
        </w:tc>
        <w:tc>
          <w:tcPr>
            <w:tcW w:type="dxa" w:w="5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user describes the idea; WIT converts it into explicit rules, flags ambiguity, and prepares a formal specification. Built only after the deterministic foundation is dependable.</w:t>
            </w:r>
          </w:p>
        </w:tc>
      </w:tr>
      <w:tr>
        <w:tc>
          <w:tcPr>
            <w:tcW w:type="dxa" w:w="3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Advanced code editor</w:t>
            </w:r>
          </w:p>
        </w:tc>
        <w:tc>
          <w:tcPr>
            <w:tcW w:type="dxa" w:w="5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Experienced users paste or edit Pine Script, receive diagnostics, and maintain versions.</w:t>
            </w:r>
          </w:p>
        </w:tc>
      </w:tr>
    </w:tbl>
    <w:p>
      <w:pPr>
        <w:spacing w:after="120"/>
      </w:pPr>
    </w:p>
    <w:p>
      <w:pPr>
        <w:spacing w:after="160" w:line="300"/>
      </w:pPr>
      <w:r>
        <w:rPr>
          <w:rFonts w:ascii="Calibri" w:cs="Calibri" w:eastAsia="Calibri" w:hAnsi="Calibri"/>
          <w:sz w:val="22"/>
          <w:szCs w:val="22"/>
        </w:rPr>
        <w:t xml:space="preserve">Formal specification before code, always: instrument and timeframe, session and timezone, entry trigger semantics (close, touch, or intrabar), filters, position sizing and trade-frequency rules, stops/targets/trailing/time-based/end-of-session exits, commission and slippage, re-entry and same-bar conflict behavior. WIT never jumps from an informal sentence to generated code. Scope note (decided): the lab tests on S&amp;P futures (ES with micro-contract economics) only for now; the builder discloses this plainly, and additional markets are future work gated on data licensing.</w:t>
      </w:r>
    </w:p>
    <w:p>
      <w:pPr>
        <w:pStyle w:val="Heading2"/>
        <w:spacing w:after="140" w:before="260"/>
      </w:pPr>
      <w:r>
        <w:rPr>
          <w:rFonts w:ascii="Calibri" w:cs="Calibri" w:eastAsia="Calibri" w:hAnsi="Calibri"/>
          <w:b/>
          <w:bCs/>
          <w:color w:val="1F4E5F"/>
          <w:sz w:val="25"/>
          <w:szCs w:val="25"/>
        </w:rPr>
        <w:t xml:space="preserve">Research projects, versions, and experiments</w:t>
      </w:r>
    </w:p>
    <w:p>
      <w:pPr>
        <w:spacing w:after="160" w:line="300"/>
      </w:pPr>
      <w:r>
        <w:rPr>
          <w:rFonts w:ascii="Calibri" w:cs="Calibri" w:eastAsia="Calibri" w:hAnsi="Calibri"/>
          <w:sz w:val="22"/>
          <w:szCs w:val="22"/>
        </w:rPr>
        <w:t xml:space="preserve">Each strategy is a research project, not a single backtest: versions, controlled experiments (one revision, one stated hypothesis), and comparisons against the parent version in-sample and out-of-sample. Every experiment records the hypothesis, the exact change, both results, trade-count change and statistical uncertainty, robustness results, and its accepted/rejected/inconclusive status. This experiment ledger is a major retention feature — users return months later and understand not only what the strategy does but why each rule exists. It is also the honest version of “improve my strategy”: controlled experiments with multiple-testing awareness, never overfitting-as-a-service.</w:t>
      </w:r>
    </w:p>
    <w:p>
      <w:pPr>
        <w:pStyle w:val="Heading1"/>
        <w:spacing w:after="200" w:before="360"/>
      </w:pPr>
      <w:r>
        <w:rPr>
          <w:rFonts w:ascii="Calibri" w:cs="Calibri" w:eastAsia="Calibri" w:hAnsi="Calibri"/>
          <w:b/>
          <w:bCs/>
          <w:color w:val="1F4E5F"/>
          <w:sz w:val="30"/>
          <w:szCs w:val="30"/>
        </w:rPr>
        <w:t xml:space="preserve">7. Pine Script Generation and Export (paid, later phase)</w:t>
      </w:r>
    </w:p>
    <w:p>
      <w:pPr>
        <w:spacing w:after="160" w:line="300"/>
      </w:pPr>
      <w:r>
        <w:rPr>
          <w:rFonts w:ascii="Calibri" w:cs="Calibri" w:eastAsia="Calibri" w:hAnsi="Calibri"/>
          <w:sz w:val="22"/>
          <w:szCs w:val="22"/>
        </w:rPr>
        <w:t xml:space="preserve">A central v2 deliverable: generate a documented TradingView Pine Script for any selected strategy version — original, revision, or experiment — without overwriting prior code. The generation sequence validates the specification for contradictions, generates the script, runs syntax validation and behavioral checks on representative scenarios, and presents the code with version information, assumptions, warnings, and a change summary. Every generated script is documented: name and version, generation date and specification hash, Pine version, instrument/timeframe/session/timezone assumptions, cost assumptions, the full rule set, and known limitations.</w:t>
      </w:r>
    </w:p>
    <w:p>
      <w:pPr>
        <w:spacing w:after="160" w:line="300"/>
      </w:pPr>
      <w:r>
        <w:rPr>
          <w:rFonts w:ascii="Calibri" w:cs="Calibri" w:eastAsia="Calibri" w:hAnsi="Calibri"/>
          <w:b/>
          <w:bCs/>
          <w:sz w:val="22"/>
          <w:szCs w:val="22"/>
        </w:rPr>
        <w:t xml:space="preserve">Engineering caution (lead engineer): </w:t>
      </w:r>
      <w:r>
        <w:rPr>
          <w:rFonts w:ascii="Calibri" w:cs="Calibri" w:eastAsia="Calibri" w:hAnsi="Calibri"/>
          <w:sz w:val="22"/>
          <w:szCs w:val="22"/>
        </w:rPr>
        <w:t xml:space="preserve">WIT’s engine and TradingView execute with subtly different mechanics; this project’s own history contains hard-won lessons of exactly that kind. Export ships only with fidelity testing against TradingView behavior and honest, documented differences — a generated script that behaves differently from the audit that justified it would damage the trust brand. Decision (July 30, 2026): export is a flagship paid feature, built after the strategy builder is solid.</w:t>
      </w:r>
    </w:p>
    <w:p>
      <w:pPr>
        <w:pStyle w:val="Heading1"/>
        <w:spacing w:after="200" w:before="360"/>
      </w:pPr>
      <w:r>
        <w:rPr>
          <w:rFonts w:ascii="Calibri" w:cs="Calibri" w:eastAsia="Calibri" w:hAnsi="Calibri"/>
          <w:b/>
          <w:bCs/>
          <w:color w:val="1F4E5F"/>
          <w:sz w:val="30"/>
          <w:szCs w:val="30"/>
        </w:rPr>
        <w:t xml:space="preserve">8. Privacy, Security, and Trust</w:t>
      </w:r>
    </w:p>
    <w:p>
      <w:pPr>
        <w:spacing w:after="160" w:line="300"/>
      </w:pPr>
      <w:r>
        <w:rPr>
          <w:rFonts w:ascii="Calibri" w:cs="Calibri" w:eastAsia="Calibri" w:hAnsi="Calibri"/>
          <w:sz w:val="22"/>
          <w:szCs w:val="22"/>
        </w:rPr>
        <w:t xml:space="preserve">Users may regard their trading logic as proprietary intellectual property, so privacy is part of the product. The customer-facing promise: your strategies are private by default, isolated to your account, and not used to train shared models unless you explicitly opt in. Visible controls: private to my account; share by invitation or controlled link; publish publicly only through a separate confirmation step; opt-ins for telemetry and any model improvement; retention controls; export all project data; permanently delete; revoke shared links and view an access log.</w:t>
      </w:r>
    </w:p>
    <w:p>
      <w:pPr>
        <w:spacing w:after="160" w:line="300"/>
      </w:pPr>
      <w:r>
        <w:rPr>
          <w:rFonts w:ascii="Calibri" w:cs="Calibri" w:eastAsia="Calibri" w:hAnsi="Calibri"/>
          <w:sz w:val="22"/>
          <w:szCs w:val="22"/>
        </w:rPr>
        <w:t xml:space="preserve">Technical guardrails: strict tenant isolation for storage, search, retrieval, and AI context; no global search across private strategies; encryption in transit and at rest; role-based access with audit logging; redaction of private strategy content from routine analytics and support logs; separation between user strategy memory and shared platform intelligence; and claims limited to what the architecture can actually enforce.</w:t>
      </w:r>
    </w:p>
    <w:p>
      <w:pPr>
        <w:spacing w:after="160" w:line="300"/>
      </w:pPr>
      <w:r>
        <w:rPr>
          <w:rFonts w:ascii="Calibri" w:cs="Calibri" w:eastAsia="Calibri" w:hAnsi="Calibri"/>
          <w:sz w:val="22"/>
          <w:szCs w:val="22"/>
        </w:rPr>
        <w:t xml:space="preserve">Much of this posture is already real in the shipped product: audits are private by default; all database writes go through server-side functions (the browser can write nothing directly); engine results arrive over a signed, verified channel; nothing is publicly readable until a human publishes it; WIT trains no models on user content today; and access-control changes are made only by the founder after joint review. Users should decide whether to publish only a conclusion, selected metrics, a redacted rule set, the complete specification, or full code — public results never imply permission to reveal private rules.</w:t>
      </w:r>
    </w:p>
    <w:p>
      <w:pPr>
        <w:pStyle w:val="Heading1"/>
        <w:spacing w:after="200" w:before="360"/>
      </w:pPr>
      <w:r>
        <w:rPr>
          <w:rFonts w:ascii="Calibri" w:cs="Calibri" w:eastAsia="Calibri" w:hAnsi="Calibri"/>
          <w:b/>
          <w:bCs/>
          <w:color w:val="1F4E5F"/>
          <w:sz w:val="30"/>
          <w:szCs w:val="30"/>
        </w:rPr>
        <w:t xml:space="preserve">9. Continuous Quality Improvement</w:t>
      </w:r>
    </w:p>
    <w:p>
      <w:pPr>
        <w:spacing w:after="160" w:line="300"/>
      </w:pPr>
      <w:r>
        <w:rPr>
          <w:rFonts w:ascii="Calibri" w:cs="Calibri" w:eastAsia="Calibri" w:hAnsi="Calibri"/>
          <w:sz w:val="22"/>
          <w:szCs w:val="22"/>
        </w:rPr>
        <w:t xml:space="preserve">WIT stays ahead of imitators by learning from outcomes, errors, and workflow signals — never from the substance of users’ confidential strategies. Learned by default: compilation success and failure categories, specification-versus-code mismatch, common ambiguity types, where users abandon or repeat steps, which diagnostics help, how often recommendations are accepted, whether proposed revisions survive out-of-sample evaluation, and latency/reliability/data-quality failures. Requiring explicit consent: using strategy content to improve any shared model, adding a strategy to a reusable pattern library, publishing anything, or staff inspection of raw strategy logic beyond defined support and security needs. Core principle: learn how to improve the system without learning or reusing the user’s private trading idea.</w:t>
      </w:r>
    </w:p>
    <w:p>
      <w:pPr>
        <w:pStyle w:val="Heading1"/>
        <w:spacing w:after="200" w:before="360"/>
      </w:pPr>
      <w:r>
        <w:rPr>
          <w:rFonts w:ascii="Calibri" w:cs="Calibri" w:eastAsia="Calibri" w:hAnsi="Calibri"/>
          <w:b/>
          <w:bCs/>
          <w:color w:val="1F4E5F"/>
          <w:sz w:val="30"/>
          <w:szCs w:val="30"/>
        </w:rPr>
        <w:t xml:space="preserve">10. Community and Publishing (future, voluntary)</w:t>
      </w:r>
    </w:p>
    <w:p>
      <w:pPr>
        <w:spacing w:after="160" w:line="300"/>
      </w:pPr>
      <w:r>
        <w:rPr>
          <w:rFonts w:ascii="Calibri" w:cs="Calibri" w:eastAsia="Calibri" w:hAnsi="Calibri"/>
          <w:sz w:val="22"/>
          <w:szCs w:val="22"/>
        </w:rPr>
        <w:t xml:space="preserve">Community features come last and are voluntary — designed around reputation, discussion, and conclusions rather than compulsory exposure of strategy logic. Candidates: public researcher profiles, followers and saved reports, comments and structured peer review, most-reproduced findings, permanent report URLs and shareable verification cards, a “Verified by WillItTrade” methodology badge with disclosed test scope, creator response pages, and community replication challenges.</w:t>
      </w:r>
    </w:p>
    <w:p>
      <w:pPr>
        <w:pStyle w:val="Heading1"/>
        <w:spacing w:after="200" w:before="360"/>
      </w:pPr>
      <w:r>
        <w:rPr>
          <w:rFonts w:ascii="Calibri" w:cs="Calibri" w:eastAsia="Calibri" w:hAnsi="Calibri"/>
          <w:b/>
          <w:bCs/>
          <w:color w:val="1F4E5F"/>
          <w:sz w:val="30"/>
          <w:szCs w:val="30"/>
        </w:rPr>
        <w:t xml:space="preserve">11. Differentiation and Moat</w:t>
      </w:r>
    </w:p>
    <w:p>
      <w:pPr>
        <w:pStyle w:val="ListParagraph"/>
        <w:numPr>
          <w:ilvl w:val="0"/>
          <w:numId w:val="2"/>
        </w:numPr>
        <w:spacing w:after="100" w:line="290"/>
      </w:pPr>
      <w:r>
        <w:rPr>
          <w:rFonts w:ascii="Calibri" w:cs="Calibri" w:eastAsia="Calibri" w:hAnsi="Calibri"/>
          <w:sz w:val="22"/>
          <w:szCs w:val="22"/>
        </w:rPr>
        <w:t xml:space="preserve">Computed, not opined. No chat AI can run thousands of trades over 18 years of licensed intraday data and hand back a trade list. AIs asked for performance numbers make them up.</w:t>
      </w:r>
    </w:p>
    <w:p>
      <w:pPr>
        <w:pStyle w:val="ListParagraph"/>
        <w:numPr>
          <w:ilvl w:val="0"/>
          <w:numId w:val="2"/>
        </w:numPr>
        <w:spacing w:after="100" w:line="290"/>
      </w:pPr>
      <w:r>
        <w:rPr>
          <w:rFonts w:ascii="Calibri" w:cs="Calibri" w:eastAsia="Calibri" w:hAnsi="Calibri"/>
          <w:sz w:val="22"/>
          <w:szCs w:val="22"/>
        </w:rPr>
        <w:t xml:space="preserve">Earned correctness. The engine’s execution semantics are audited and TradingView-validated; entire classes of subtle backtest bugs have already been found and fixed.</w:t>
      </w:r>
    </w:p>
    <w:p>
      <w:pPr>
        <w:pStyle w:val="ListParagraph"/>
        <w:numPr>
          <w:ilvl w:val="0"/>
          <w:numId w:val="2"/>
        </w:numPr>
        <w:spacing w:after="100" w:line="290"/>
      </w:pPr>
      <w:r>
        <w:rPr>
          <w:rFonts w:ascii="Calibri" w:cs="Calibri" w:eastAsia="Calibri" w:hAnsi="Calibri"/>
          <w:sz w:val="22"/>
          <w:szCs w:val="22"/>
        </w:rPr>
        <w:t xml:space="preserve">Structural skepticism. Submissions cannot talk their way to a better verdict; competitor scores track the narrative, WIT’s track the data.</w:t>
      </w:r>
    </w:p>
    <w:p>
      <w:pPr>
        <w:pStyle w:val="ListParagraph"/>
        <w:numPr>
          <w:ilvl w:val="0"/>
          <w:numId w:val="2"/>
        </w:numPr>
        <w:spacing w:after="100" w:line="290"/>
      </w:pPr>
      <w:r>
        <w:rPr>
          <w:rFonts w:ascii="Calibri" w:cs="Calibri" w:eastAsia="Calibri" w:hAnsi="Calibri"/>
          <w:sz w:val="22"/>
          <w:szCs w:val="22"/>
        </w:rPr>
        <w:t xml:space="preserve">Methodology as moat. Competitors can build another backtester. Harder to copy: formalizing ambiguous ideas into deterministic specifications, detecting look-ahead bias and unrealistic execution, controlled experiments instead of random optimization, learning which recommendation types survive future data, the accumulated research record, and public authority around independent verification.</w:t>
      </w:r>
    </w:p>
    <w:p>
      <w:pPr>
        <w:pStyle w:val="ListParagraph"/>
        <w:numPr>
          <w:ilvl w:val="0"/>
          <w:numId w:val="2"/>
        </w:numPr>
        <w:spacing w:after="100" w:line="290"/>
      </w:pPr>
      <w:r>
        <w:rPr>
          <w:rFonts w:ascii="Calibri" w:cs="Calibri" w:eastAsia="Calibri" w:hAnsi="Calibri"/>
          <w:sz w:val="22"/>
          <w:szCs w:val="22"/>
        </w:rPr>
        <w:t xml:space="preserve">The library compounds. Every published report is a permanent, searchable, citable page — and the private research record makes leaving costly in the best way: the user’s own evidence lives here.</w:t>
      </w:r>
    </w:p>
    <w:p>
      <w:pPr>
        <w:pStyle w:val="ListParagraph"/>
        <w:numPr>
          <w:ilvl w:val="0"/>
          <w:numId w:val="2"/>
        </w:numPr>
        <w:spacing w:after="100" w:line="290"/>
      </w:pPr>
      <w:r>
        <w:rPr>
          <w:rFonts w:ascii="Calibri" w:cs="Calibri" w:eastAsia="Calibri" w:hAnsi="Calibri"/>
          <w:sz w:val="22"/>
          <w:szCs w:val="22"/>
        </w:rPr>
        <w:t xml:space="preserve">Calibrated honesty as brand. WIT routinely says “inconclusive” and “untestable.” That discipline is expensive to copy because it requires disappointing users honestly.</w:t>
      </w:r>
    </w:p>
    <w:p>
      <w:pPr>
        <w:pStyle w:val="Heading1"/>
        <w:spacing w:after="200" w:before="360"/>
      </w:pPr>
      <w:r>
        <w:rPr>
          <w:rFonts w:ascii="Calibri" w:cs="Calibri" w:eastAsia="Calibri" w:hAnsi="Calibri"/>
          <w:b/>
          <w:bCs/>
          <w:color w:val="1F4E5F"/>
          <w:sz w:val="30"/>
          <w:szCs w:val="30"/>
        </w:rPr>
        <w:t xml:space="preserve">12. Pricing (v1 hypothesis, to validate)</w:t>
      </w:r>
    </w:p>
    <w:p>
      <w:pPr>
        <w:pStyle w:val="ListParagraph"/>
        <w:numPr>
          <w:ilvl w:val="0"/>
          <w:numId w:val="2"/>
        </w:numPr>
        <w:spacing w:after="100" w:line="290"/>
      </w:pPr>
      <w:r>
        <w:rPr>
          <w:rFonts w:ascii="Calibri" w:cs="Calibri" w:eastAsia="Calibri" w:hAnsi="Calibri"/>
          <w:sz w:val="22"/>
          <w:szCs w:val="22"/>
        </w:rPr>
        <w:t xml:space="preserve">Free: public teaser library, plus 1 full evaluation per month.</w:t>
      </w:r>
    </w:p>
    <w:p>
      <w:pPr>
        <w:pStyle w:val="ListParagraph"/>
        <w:numPr>
          <w:ilvl w:val="0"/>
          <w:numId w:val="2"/>
        </w:numPr>
        <w:spacing w:after="100" w:line="290"/>
      </w:pPr>
      <w:r>
        <w:rPr>
          <w:rFonts w:ascii="Calibri" w:cs="Calibri" w:eastAsia="Calibri" w:hAnsi="Calibri"/>
          <w:sz w:val="22"/>
          <w:szCs w:val="22"/>
        </w:rPr>
        <w:t xml:space="preserve">Paid (~$15–29/month, to test): metered evaluations, full report depth, private reports, re-runs with modified parameters, priority queue. v2 adds: the strategy workspace with versioned experiments; Pine Script export sits in the paid tier.</w:t>
      </w:r>
    </w:p>
    <w:p>
      <w:pPr>
        <w:spacing w:after="160" w:line="300"/>
      </w:pPr>
      <w:r>
        <w:rPr>
          <w:rFonts w:ascii="Calibri" w:cs="Calibri" w:eastAsia="Calibri" w:hAnsi="Calibri"/>
          <w:sz w:val="22"/>
          <w:szCs w:val="22"/>
        </w:rPr>
        <w:t xml:space="preserve">Each evaluation carries real cost (transcript credits, three AI readings, engine compute) — the model is metered, never unlimited. The self-serve strategy builder multiplies backtests per user, which makes metering and per-user compute budgets a first-class design constraint in v2. Market anchor: the leading opinion-based competitor charges $6.99 for opinions; evidence justifies more.</w:t>
      </w:r>
    </w:p>
    <w:p>
      <w:pPr>
        <w:pStyle w:val="Heading1"/>
        <w:spacing w:after="200" w:before="360"/>
      </w:pPr>
      <w:r>
        <w:rPr>
          <w:rFonts w:ascii="Calibri" w:cs="Calibri" w:eastAsia="Calibri" w:hAnsi="Calibri"/>
          <w:b/>
          <w:bCs/>
          <w:color w:val="1F4E5F"/>
          <w:sz w:val="30"/>
          <w:szCs w:val="30"/>
        </w:rPr>
        <w:t xml:space="preserve">13. Explicitly Out of Scope</w:t>
      </w:r>
    </w:p>
    <w:p>
      <w:pPr>
        <w:pStyle w:val="ListParagraph"/>
        <w:numPr>
          <w:ilvl w:val="0"/>
          <w:numId w:val="2"/>
        </w:numPr>
        <w:spacing w:after="100" w:line="290"/>
      </w:pPr>
      <w:r>
        <w:rPr>
          <w:rFonts w:ascii="Calibri" w:cs="Calibri" w:eastAsia="Calibri" w:hAnsi="Calibri"/>
          <w:sz w:val="22"/>
          <w:szCs w:val="22"/>
        </w:rPr>
        <w:t xml:space="preserve">Trade journaling, psychology scoring, pre-trade opinions.</w:t>
      </w:r>
    </w:p>
    <w:p>
      <w:pPr>
        <w:pStyle w:val="ListParagraph"/>
        <w:numPr>
          <w:ilvl w:val="0"/>
          <w:numId w:val="2"/>
        </w:numPr>
        <w:spacing w:after="100" w:line="290"/>
      </w:pPr>
      <w:r>
        <w:rPr>
          <w:rFonts w:ascii="Calibri" w:cs="Calibri" w:eastAsia="Calibri" w:hAnsi="Calibri"/>
          <w:sz w:val="22"/>
          <w:szCs w:val="22"/>
        </w:rPr>
        <w:t xml:space="preserve">Live trading, broker connections, signals, or alerts of any kind.</w:t>
      </w:r>
    </w:p>
    <w:p>
      <w:pPr>
        <w:pStyle w:val="ListParagraph"/>
        <w:numPr>
          <w:ilvl w:val="0"/>
          <w:numId w:val="2"/>
        </w:numPr>
        <w:spacing w:after="100" w:line="290"/>
      </w:pPr>
      <w:r>
        <w:rPr>
          <w:rFonts w:ascii="Calibri" w:cs="Calibri" w:eastAsia="Calibri" w:hAnsi="Calibri"/>
          <w:sz w:val="22"/>
          <w:szCs w:val="22"/>
        </w:rPr>
        <w:t xml:space="preserve">Arbitrary user-submitted code executed in the lab (structured specifications only — this is the security model; the v2 code editor edits and validates Pine Script, it does not run foreign code in WIT’s engine).</w:t>
      </w:r>
    </w:p>
    <w:p>
      <w:pPr>
        <w:pStyle w:val="ListParagraph"/>
        <w:numPr>
          <w:ilvl w:val="0"/>
          <w:numId w:val="2"/>
        </w:numPr>
        <w:spacing w:after="100" w:line="290"/>
      </w:pPr>
      <w:r>
        <w:rPr>
          <w:rFonts w:ascii="Calibri" w:cs="Calibri" w:eastAsia="Calibri" w:hAnsi="Calibri"/>
          <w:sz w:val="22"/>
          <w:szCs w:val="22"/>
        </w:rPr>
        <w:t xml:space="preserve">Auto-“fixing” strategies through unaccounted parameter search. Improvements exist only as controlled experiments with stated hypotheses and out-of-sample comparison.</w:t>
      </w:r>
    </w:p>
    <w:p>
      <w:pPr>
        <w:pStyle w:val="ListParagraph"/>
        <w:numPr>
          <w:ilvl w:val="0"/>
          <w:numId w:val="2"/>
        </w:numPr>
        <w:spacing w:after="100" w:line="290"/>
      </w:pPr>
      <w:r>
        <w:rPr>
          <w:rFonts w:ascii="Calibri" w:cs="Calibri" w:eastAsia="Calibri" w:hAnsi="Calibri"/>
          <w:sz w:val="22"/>
          <w:szCs w:val="22"/>
        </w:rPr>
        <w:t xml:space="preserve">Markets beyond S&amp;P futures, and additional data vendors — future expansion, gated on licensing.</w:t>
      </w:r>
    </w:p>
    <w:p>
      <w:pPr>
        <w:pStyle w:val="Heading1"/>
        <w:spacing w:after="200" w:before="360"/>
      </w:pPr>
      <w:r>
        <w:rPr>
          <w:rFonts w:ascii="Calibri" w:cs="Calibri" w:eastAsia="Calibri" w:hAnsi="Calibri"/>
          <w:b/>
          <w:bCs/>
          <w:color w:val="1F4E5F"/>
          <w:sz w:val="30"/>
          <w:szCs w:val="30"/>
        </w:rPr>
        <w:t xml:space="preserve">14. Architecture (plain English)</w:t>
      </w:r>
    </w:p>
    <w:p>
      <w:pPr>
        <w:spacing w:after="160" w:line="300"/>
      </w:pPr>
      <w:r>
        <w:rPr>
          <w:rFonts w:ascii="Calibri" w:cs="Calibri" w:eastAsia="Calibri" w:hAnsi="Calibri"/>
          <w:sz w:val="22"/>
          <w:szCs w:val="22"/>
        </w:rPr>
        <w:t xml:space="preserve">Three managed services: the storefront (the web app users see), the front office (accounts, database, and server-side functions — owns all state and all writes; the browser writes nothing directly), and the lab (the Python backtest engine and licensed dataset — stateless compute behind an API key, accepting structured configurations only, never code). The v2 platform layers map onto the same spine: the private project layer and publishing layer live in the front office; the specification engine, testing/validation engine, and Pine generation layer live in the lab; the platform-intelligence and telemetry layers aggregate outcomes without cross-user strategy leakage.</w:t>
      </w:r>
    </w:p>
    <w:p>
      <w:pPr>
        <w:pStyle w:val="Heading1"/>
        <w:spacing w:after="200" w:before="360"/>
      </w:pPr>
      <w:r>
        <w:rPr>
          <w:rFonts w:ascii="Calibri" w:cs="Calibri" w:eastAsia="Calibri" w:hAnsi="Calibri"/>
          <w:b/>
          <w:bCs/>
          <w:color w:val="1F4E5F"/>
          <w:sz w:val="30"/>
          <w:szCs w:val="30"/>
        </w:rPr>
        <w:t xml:space="preserve">15. Roadmap</w:t>
      </w:r>
    </w:p>
    <w:p>
      <w:pPr>
        <w:pStyle w:val="Heading2"/>
        <w:spacing w:after="140" w:before="260"/>
      </w:pPr>
      <w:r>
        <w:rPr>
          <w:rFonts w:ascii="Calibri" w:cs="Calibri" w:eastAsia="Calibri" w:hAnsi="Calibri"/>
          <w:b/>
          <w:bCs/>
          <w:color w:val="1F4E5F"/>
          <w:sz w:val="25"/>
          <w:szCs w:val="25"/>
        </w:rPr>
        <w:t xml:space="preserve">Now — finish and launch v1 (decided July 30, 2026)</w:t>
      </w:r>
    </w:p>
    <w:p>
      <w:pPr>
        <w:pStyle w:val="ListParagraph"/>
        <w:numPr>
          <w:ilvl w:val="0"/>
          <w:numId w:val="2"/>
        </w:numPr>
        <w:spacing w:after="100" w:line="290"/>
      </w:pPr>
      <w:r>
        <w:rPr>
          <w:rFonts w:ascii="Calibri" w:cs="Calibri" w:eastAsia="Calibri" w:hAnsi="Calibri"/>
          <w:sz w:val="22"/>
          <w:szCs w:val="22"/>
        </w:rPr>
        <w:t xml:space="preserve">Reviewer screen + publish workflow (in build); teaser library pages and shareable cards; pricing/metering/Stripe; seed 5–10 library audits; launch gates below.</w:t>
      </w:r>
    </w:p>
    <w:p>
      <w:pPr>
        <w:pStyle w:val="Heading2"/>
        <w:spacing w:after="140" w:before="260"/>
      </w:pPr>
      <w:r>
        <w:rPr>
          <w:rFonts w:ascii="Calibri" w:cs="Calibri" w:eastAsia="Calibri" w:hAnsi="Calibri"/>
          <w:b/>
          <w:bCs/>
          <w:color w:val="1F4E5F"/>
          <w:sz w:val="25"/>
          <w:szCs w:val="25"/>
        </w:rPr>
        <w:t xml:space="preserve">v2 Phase A — Foundation</w:t>
      </w:r>
    </w:p>
    <w:p>
      <w:pPr>
        <w:pStyle w:val="ListParagraph"/>
        <w:numPr>
          <w:ilvl w:val="0"/>
          <w:numId w:val="2"/>
        </w:numPr>
        <w:spacing w:after="100" w:line="290"/>
      </w:pPr>
      <w:r>
        <w:rPr>
          <w:rFonts w:ascii="Calibri" w:cs="Calibri" w:eastAsia="Calibri" w:hAnsi="Calibri"/>
          <w:sz w:val="22"/>
          <w:szCs w:val="22"/>
        </w:rPr>
        <w:t xml:space="preserve">Private research projects; template-based strategy builder on the shared specification schema; baseline backtests; versioning. Privacy, tenant isolation, and data-use controls begin here — they are not retrofittable after users have trusted the platform with proprietary strategies.</w:t>
      </w:r>
    </w:p>
    <w:p>
      <w:pPr>
        <w:pStyle w:val="Heading2"/>
        <w:spacing w:after="140" w:before="260"/>
      </w:pPr>
      <w:r>
        <w:rPr>
          <w:rFonts w:ascii="Calibri" w:cs="Calibri" w:eastAsia="Calibri" w:hAnsi="Calibri"/>
          <w:b/>
          <w:bCs/>
          <w:color w:val="1F4E5F"/>
          <w:sz w:val="25"/>
          <w:szCs w:val="25"/>
        </w:rPr>
        <w:t xml:space="preserve">v2 Phase B — Research rigor</w:t>
      </w:r>
    </w:p>
    <w:p>
      <w:pPr>
        <w:pStyle w:val="ListParagraph"/>
        <w:numPr>
          <w:ilvl w:val="0"/>
          <w:numId w:val="2"/>
        </w:numPr>
        <w:spacing w:after="100" w:line="290"/>
      </w:pPr>
      <w:r>
        <w:rPr>
          <w:rFonts w:ascii="Calibri" w:cs="Calibri" w:eastAsia="Calibri" w:hAnsi="Calibri"/>
          <w:sz w:val="22"/>
          <w:szCs w:val="22"/>
        </w:rPr>
        <w:t xml:space="preserve">Experiment comparisons, out-of-sample testing, sensitivity, Monte Carlo, regime analysis, clearer statistical confidence reporting (extends the engine’s existing statistics roadmap).</w:t>
      </w:r>
    </w:p>
    <w:p>
      <w:pPr>
        <w:pStyle w:val="Heading2"/>
        <w:spacing w:after="140" w:before="260"/>
      </w:pPr>
      <w:r>
        <w:rPr>
          <w:rFonts w:ascii="Calibri" w:cs="Calibri" w:eastAsia="Calibri" w:hAnsi="Calibri"/>
          <w:b/>
          <w:bCs/>
          <w:color w:val="1F4E5F"/>
          <w:sz w:val="25"/>
          <w:szCs w:val="25"/>
        </w:rPr>
        <w:t xml:space="preserve">v2 Phase C — Pine Script export (paid)</w:t>
      </w:r>
    </w:p>
    <w:p>
      <w:pPr>
        <w:pStyle w:val="ListParagraph"/>
        <w:numPr>
          <w:ilvl w:val="0"/>
          <w:numId w:val="2"/>
        </w:numPr>
        <w:spacing w:after="100" w:line="290"/>
      </w:pPr>
      <w:r>
        <w:rPr>
          <w:rFonts w:ascii="Calibri" w:cs="Calibri" w:eastAsia="Calibri" w:hAnsi="Calibri"/>
          <w:sz w:val="22"/>
          <w:szCs w:val="22"/>
        </w:rPr>
        <w:t xml:space="preserve">Specification-to-code generation with validation, behavioral checks, fidelity testing against TradingView, versioned documentation, and honest difference disclosure.</w:t>
      </w:r>
    </w:p>
    <w:p>
      <w:pPr>
        <w:pStyle w:val="Heading2"/>
        <w:spacing w:after="140" w:before="260"/>
      </w:pPr>
      <w:r>
        <w:rPr>
          <w:rFonts w:ascii="Calibri" w:cs="Calibri" w:eastAsia="Calibri" w:hAnsi="Calibri"/>
          <w:b/>
          <w:bCs/>
          <w:color w:val="1F4E5F"/>
          <w:sz w:val="25"/>
          <w:szCs w:val="25"/>
        </w:rPr>
        <w:t xml:space="preserve">v2 Phase D — AI research assistant</w:t>
      </w:r>
    </w:p>
    <w:p>
      <w:pPr>
        <w:pStyle w:val="ListParagraph"/>
        <w:numPr>
          <w:ilvl w:val="0"/>
          <w:numId w:val="2"/>
        </w:numPr>
        <w:spacing w:after="100" w:line="290"/>
      </w:pPr>
      <w:r>
        <w:rPr>
          <w:rFonts w:ascii="Calibri" w:cs="Calibri" w:eastAsia="Calibri" w:hAnsi="Calibri"/>
          <w:sz w:val="22"/>
          <w:szCs w:val="22"/>
        </w:rPr>
        <w:t xml:space="preserve">Plain-English strategy creation, ambiguity resolution, controlled improvement recommendations, automated research plans — only after the deterministic foundation is dependable.</w:t>
      </w:r>
    </w:p>
    <w:p>
      <w:pPr>
        <w:pStyle w:val="Heading2"/>
        <w:spacing w:after="140" w:before="260"/>
      </w:pPr>
      <w:r>
        <w:rPr>
          <w:rFonts w:ascii="Calibri" w:cs="Calibri" w:eastAsia="Calibri" w:hAnsi="Calibri"/>
          <w:b/>
          <w:bCs/>
          <w:color w:val="1F4E5F"/>
          <w:sz w:val="25"/>
          <w:szCs w:val="25"/>
        </w:rPr>
        <w:t xml:space="preserve">v2 Phase E — Community and collaboration</w:t>
      </w:r>
    </w:p>
    <w:p>
      <w:pPr>
        <w:pStyle w:val="ListParagraph"/>
        <w:numPr>
          <w:ilvl w:val="0"/>
          <w:numId w:val="2"/>
        </w:numPr>
        <w:spacing w:after="100" w:line="290"/>
      </w:pPr>
      <w:r>
        <w:rPr>
          <w:rFonts w:ascii="Calibri" w:cs="Calibri" w:eastAsia="Calibri" w:hAnsi="Calibri"/>
          <w:sz w:val="22"/>
          <w:szCs w:val="22"/>
        </w:rPr>
        <w:t xml:space="preserve">Research profiles, peer review, comments, shared workspaces, publication controls, reputation, replication challenges.</w:t>
      </w:r>
    </w:p>
    <w:p>
      <w:pPr>
        <w:pStyle w:val="Heading1"/>
        <w:spacing w:after="200" w:before="360"/>
      </w:pPr>
      <w:r>
        <w:rPr>
          <w:rFonts w:ascii="Calibri" w:cs="Calibri" w:eastAsia="Calibri" w:hAnsi="Calibri"/>
          <w:b/>
          <w:bCs/>
          <w:color w:val="1F4E5F"/>
          <w:sz w:val="30"/>
          <w:szCs w:val="30"/>
        </w:rPr>
        <w:t xml:space="preserve">16. Launch Gates and Open Items (v1)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rPr>
          <w:tblHeader/>
        </w:trPr>
        <w:tc>
          <w:tcPr>
            <w:tcW w:type="dxa" w:w="58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Gate</w:t>
            </w:r>
          </w:p>
        </w:tc>
        <w:tc>
          <w:tcPr>
            <w:tcW w:type="dxa" w:w="38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Status</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Data licence: written confirmation from FirstRateData that a derived-results SaaS is permitted</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Email sent July 29; awaiting reply. Biggest business risk; weight grows with the v2 platform.</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Transcript IP policy — what WIT may store/republish from third-party transcripts</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Open; required before any library page goes live.</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Trademark screen: USPTO knockout search on “WillItTrade” / “WIT”</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Not started.</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Reviewer screen + publish workflow</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 build.</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Email verification on signup</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Done (July 30, 2026).</w:t>
            </w:r>
          </w:p>
        </w:tc>
      </w:tr>
      <w:tr>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Access-control baseline verified (policies and grants)</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Done (July 30, 2026); checked at every session open and close.</w:t>
            </w:r>
          </w:p>
        </w:tc>
      </w:tr>
    </w:tbl>
    <w:p>
      <w:pPr>
        <w:spacing w:after="120"/>
      </w:pPr>
    </w:p>
    <w:p>
      <w:pPr>
        <w:spacing w:after="160" w:line="300"/>
      </w:pPr>
      <w:r>
        <w:rPr>
          <w:rFonts w:ascii="Calibri" w:cs="Calibri" w:eastAsia="Calibri" w:hAnsi="Calibri"/>
          <w:sz w:val="22"/>
          <w:szCs w:val="22"/>
        </w:rPr>
        <w:t xml:space="preserve">Open items behind the gates: margin-call (ruin) disclosure on published audits; surfacing video title/channel/thumbnail on user-facing cards; pricing validation and Stripe; the competitor-contrast demo page (a strong asset exists: WIT’s first production audit tested a video titled “90% of Trading Strategies Are Garbage (Use This One Instead)” and found the featured strategy lost money over 18 years); safe user-facing audit delete via a server-checked function.</w:t>
      </w:r>
    </w:p>
    <w:p>
      <w:pPr>
        <w:pStyle w:val="Heading1"/>
        <w:spacing w:after="200" w:before="360"/>
      </w:pPr>
      <w:r>
        <w:rPr>
          <w:rFonts w:ascii="Calibri" w:cs="Calibri" w:eastAsia="Calibri" w:hAnsi="Calibri"/>
          <w:b/>
          <w:bCs/>
          <w:color w:val="1F4E5F"/>
          <w:sz w:val="30"/>
          <w:szCs w:val="30"/>
        </w:rPr>
        <w:t xml:space="preserve">17. Risks and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Risk</w:t>
            </w:r>
          </w:p>
        </w:tc>
        <w:tc>
          <w:tcPr>
            <w:tcW w:type="dxa" w:w="5760"/>
            <w:shd w:fill="E8EEF1"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Guardrail</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Giving away too much publicly</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Teaser reports (decided); depth reserved for signed-in and paid users.</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Data licensing</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Written confirmation in progress; budget for a commercial tier; licensing is a named workstream for any new market.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Optimization masquerading as improvement</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Controlled experiments, holdout data, multiple-comparison awareness, sensitivity analysis.</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Private strategy leakage</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Tenant isolation, explicit publication steps, separate retrieval indexes, audited access, no default training on strategy content.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Unreliable generated Pine Script</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Syntax and behavioral validation, fidelity testing, documented WIT-vs-TradingView differences; ships late and paid.</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Weak reproducibility</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Formal specification required; data, timezone, session, cost, and execution assumptions disclosed on every result.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Overstated marketing claims</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Describe exactly what was tested; never claim certainty or guaranteed profitability; verdicts about codified rules, never a person’s live trading.</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Regulatory or legal exposure</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Legal review for investment-related messaging, user-generated content, data licensing, privacy terms, and public verification claims — importance rises with strategy export.</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Per-evaluation and per-user compute cost</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Metering from day one (usage already recorded); caps, rate limits, and queue depth limits.</w:t>
            </w:r>
          </w:p>
        </w:tc>
      </w:tr>
      <w:tr>
        <w:tc>
          <w:tcPr>
            <w:tcW w:type="dxa" w:w="3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Small-sample and fragile results</w:t>
            </w:r>
          </w:p>
        </w:tc>
        <w:tc>
          <w:tcPr>
            <w:tcW w:type="dxa" w:w="5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“Inconclusive” shown proudly; sensitivity runs mandatory for Class A post-v1; fragile results labeled fragile.</w:t>
            </w:r>
          </w:p>
        </w:tc>
      </w:tr>
    </w:tbl>
    <w:p>
      <w:pPr>
        <w:pStyle w:val="Heading1"/>
        <w:spacing w:after="200" w:before="360"/>
      </w:pPr>
      <w:r>
        <w:rPr>
          <w:rFonts w:ascii="Calibri" w:cs="Calibri" w:eastAsia="Calibri" w:hAnsi="Calibri"/>
          <w:b/>
          <w:bCs/>
          <w:color w:val="1F4E5F"/>
          <w:sz w:val="30"/>
          <w:szCs w:val="30"/>
        </w:rPr>
        <w:t xml:space="preserve">18. Success Metrics</w:t>
      </w:r>
    </w:p>
    <w:p>
      <w:pPr>
        <w:pStyle w:val="ListParagraph"/>
        <w:numPr>
          <w:ilvl w:val="0"/>
          <w:numId w:val="2"/>
        </w:numPr>
        <w:spacing w:after="100" w:line="290"/>
      </w:pPr>
      <w:r>
        <w:rPr>
          <w:rFonts w:ascii="Calibri" w:cs="Calibri" w:eastAsia="Calibri" w:hAnsi="Calibri"/>
          <w:sz w:val="22"/>
          <w:szCs w:val="22"/>
        </w:rPr>
        <w:t xml:space="preserve">Acquisition and public content: organic visits to public reports; share rate and inbound referral domains; public report → account conversion; share of new users who test a different claim or create their own strategy.</w:t>
      </w:r>
    </w:p>
    <w:p>
      <w:pPr>
        <w:pStyle w:val="ListParagraph"/>
        <w:numPr>
          <w:ilvl w:val="0"/>
          <w:numId w:val="2"/>
        </w:numPr>
        <w:spacing w:after="100" w:line="290"/>
      </w:pPr>
      <w:r>
        <w:rPr>
          <w:rFonts w:ascii="Calibri" w:cs="Calibri" w:eastAsia="Calibri" w:hAnsi="Calibri"/>
          <w:sz w:val="22"/>
          <w:szCs w:val="22"/>
        </w:rPr>
        <w:t xml:space="preserve">Strategy creation and retention (v2): completion rate of formal specifications; time from idea to first valid backtest; Pine compile success rate; share of users who create a second experiment or version; weekly active research projects and returning researchers.</w:t>
      </w:r>
    </w:p>
    <w:p>
      <w:pPr>
        <w:pStyle w:val="ListParagraph"/>
        <w:numPr>
          <w:ilvl w:val="0"/>
          <w:numId w:val="2"/>
        </w:numPr>
        <w:spacing w:after="100" w:line="290"/>
      </w:pPr>
      <w:r>
        <w:rPr>
          <w:rFonts w:ascii="Calibri" w:cs="Calibri" w:eastAsia="Calibri" w:hAnsi="Calibri"/>
          <w:sz w:val="22"/>
          <w:szCs w:val="22"/>
        </w:rPr>
        <w:t xml:space="preserve">Revenue: free → paid conversion at the meter; MRR; churn; fully-loaded cost per evaluation vs. metered price.</w:t>
      </w:r>
    </w:p>
    <w:p>
      <w:pPr>
        <w:pStyle w:val="ListParagraph"/>
        <w:numPr>
          <w:ilvl w:val="0"/>
          <w:numId w:val="2"/>
        </w:numPr>
        <w:spacing w:after="100" w:line="290"/>
      </w:pPr>
      <w:r>
        <w:rPr>
          <w:rFonts w:ascii="Calibri" w:cs="Calibri" w:eastAsia="Calibri" w:hAnsi="Calibri"/>
          <w:sz w:val="22"/>
          <w:szCs w:val="22"/>
        </w:rPr>
        <w:t xml:space="preserve">Quality and trust: detected-ambiguity rate before testing; specification-versus-code mismatch rate; false-improvement rate out-of-sample; privacy-control usage and opt-in rates; support incidents involving access or data isolation.</w:t>
      </w:r>
    </w:p>
    <w:p>
      <w:pPr>
        <w:pStyle w:val="ListParagraph"/>
        <w:numPr>
          <w:ilvl w:val="0"/>
          <w:numId w:val="2"/>
        </w:numPr>
        <w:spacing w:after="100" w:line="290"/>
      </w:pPr>
      <w:r>
        <w:rPr>
          <w:rFonts w:ascii="Calibri" w:cs="Calibri" w:eastAsia="Calibri" w:hAnsi="Calibri"/>
          <w:sz w:val="22"/>
          <w:szCs w:val="22"/>
        </w:rPr>
        <w:t xml:space="preserve">Integrity (monitored, never optimized): share of verdicts that are “inconclusive” or “untestable.” If this drops suspiciously, the product is drifting toward flattery — the failure mode WIT exists to expose.</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2026-07-30T13:26:17.840Z</dcterms:created>
  <dcterms:modified xsi:type="dcterms:W3CDTF">2026-07-30T13:26:17.841Z</dcterms:modified>
</cp:coreProperties>
</file>

<file path=docProps/custom.xml><?xml version="1.0" encoding="utf-8"?>
<Properties xmlns="http://schemas.openxmlformats.org/officeDocument/2006/custom-properties" xmlns:vt="http://schemas.openxmlformats.org/officeDocument/2006/docPropsVTypes"/>
</file>