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19F" w:rsidRDefault="00F5619F">
      <w:r>
        <w:rPr>
          <w:noProof/>
        </w:rPr>
        <w:drawing>
          <wp:anchor distT="0" distB="0" distL="114300" distR="114300" simplePos="0" relativeHeight="251658240" behindDoc="0" locked="0" layoutInCell="1" allowOverlap="1" wp14:anchorId="4B6D2FAD">
            <wp:simplePos x="0" y="0"/>
            <wp:positionH relativeFrom="margin">
              <wp:align>right</wp:align>
            </wp:positionH>
            <wp:positionV relativeFrom="paragraph">
              <wp:posOffset>860462</wp:posOffset>
            </wp:positionV>
            <wp:extent cx="5547360" cy="47155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99" t="29956" r="63534" b="17703"/>
                    <a:stretch/>
                  </pic:blipFill>
                  <pic:spPr bwMode="auto">
                    <a:xfrm>
                      <a:off x="0" y="0"/>
                      <a:ext cx="5547360" cy="4715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Supplementary Table </w:t>
      </w:r>
      <w:r>
        <w:t>2.</w:t>
      </w:r>
      <w:bookmarkStart w:id="0" w:name="_GoBack"/>
      <w:bookmarkEnd w:id="0"/>
      <w:r>
        <w:t xml:space="preserve">6: pre-tRNA genes hypermethylated by RdDM in the sexual lineage. Tables list the anticodons of the 24 pre-tRNA genes overlapping SLMs (a) and a complete list of 84 pre-tRNA genes methylated in the sexual lineage by RdDM (b). </w:t>
      </w:r>
    </w:p>
    <w:sectPr w:rsidR="00F56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9F"/>
    <w:rsid w:val="00F5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0F6E"/>
  <w15:chartTrackingRefBased/>
  <w15:docId w15:val="{EC1B2360-570C-4CB7-B232-1254E5BF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1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Walker (JIC)</dc:creator>
  <cp:keywords/>
  <dc:description/>
  <cp:lastModifiedBy>James Walker (JIC)</cp:lastModifiedBy>
  <cp:revision>1</cp:revision>
  <dcterms:created xsi:type="dcterms:W3CDTF">2019-09-26T16:55:00Z</dcterms:created>
  <dcterms:modified xsi:type="dcterms:W3CDTF">2019-09-26T16:55:00Z</dcterms:modified>
</cp:coreProperties>
</file>