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BFCD" w14:textId="0421307B" w:rsidR="00433F15" w:rsidRDefault="00433F15" w:rsidP="001B169A">
      <w:pPr>
        <w:pStyle w:val="Heading2"/>
      </w:pPr>
      <w:r>
        <w:t>Objective</w:t>
      </w:r>
    </w:p>
    <w:p w14:paraId="5367A13A" w14:textId="3E5BBBD4" w:rsidR="00DB6064" w:rsidRDefault="005E1F31" w:rsidP="00461C60">
      <w:r>
        <w:t xml:space="preserve">In this project, </w:t>
      </w:r>
      <w:r w:rsidRPr="00461C60">
        <w:rPr>
          <w:b/>
        </w:rPr>
        <w:t>you will reproduce the six figure</w:t>
      </w:r>
      <w:r w:rsidR="00461C60" w:rsidRPr="00461C60">
        <w:rPr>
          <w:b/>
        </w:rPr>
        <w:t>s</w:t>
      </w:r>
      <w:r w:rsidRPr="00461C60">
        <w:rPr>
          <w:b/>
        </w:rPr>
        <w:t xml:space="preserve"> </w:t>
      </w:r>
      <w:r w:rsidRPr="00461C60">
        <w:rPr>
          <w:b/>
          <w:i/>
        </w:rPr>
        <w:t xml:space="preserve">of </w:t>
      </w:r>
      <w:r w:rsidR="00461C60" w:rsidRPr="00461C60">
        <w:rPr>
          <w:b/>
          <w:i/>
        </w:rPr>
        <w:t>“A Model for the Tissue Factor Pathway to Thrombin II.: A mathematical simulation</w:t>
      </w:r>
      <w:r w:rsidR="00433F15">
        <w:rPr>
          <w:b/>
          <w:i/>
        </w:rPr>
        <w:t>,</w:t>
      </w:r>
      <w:r w:rsidR="00461C60" w:rsidRPr="00461C60">
        <w:rPr>
          <w:b/>
          <w:i/>
        </w:rPr>
        <w:t xml:space="preserve">” </w:t>
      </w:r>
      <w:r w:rsidR="00461C60">
        <w:t>using MATLAB</w:t>
      </w:r>
      <w:r w:rsidR="00DB6064">
        <w:t xml:space="preserve">. </w:t>
      </w:r>
    </w:p>
    <w:p w14:paraId="22F2C04F" w14:textId="5F0FD184" w:rsidR="00433F15" w:rsidRDefault="00433F15" w:rsidP="00433F15">
      <w:pPr>
        <w:pStyle w:val="Heading2"/>
      </w:pPr>
      <w:r>
        <w:t>Contents</w:t>
      </w:r>
    </w:p>
    <w:p w14:paraId="02067D99" w14:textId="11640963" w:rsidR="0061565E" w:rsidRDefault="0061565E" w:rsidP="00461C60">
      <w:r>
        <w:t>Please see the following project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61565E" w14:paraId="13F0924F" w14:textId="77777777" w:rsidTr="00D71ED6">
        <w:tc>
          <w:tcPr>
            <w:tcW w:w="2515" w:type="dxa"/>
          </w:tcPr>
          <w:p w14:paraId="1278C426" w14:textId="49CCCD33" w:rsidR="0061565E" w:rsidRPr="001D2783" w:rsidRDefault="0061565E" w:rsidP="001D2783">
            <w:pPr>
              <w:pStyle w:val="Table"/>
              <w:jc w:val="center"/>
              <w:rPr>
                <w:b/>
              </w:rPr>
            </w:pPr>
            <w:r w:rsidRPr="001D2783">
              <w:rPr>
                <w:b/>
              </w:rPr>
              <w:t>File</w:t>
            </w:r>
          </w:p>
        </w:tc>
        <w:tc>
          <w:tcPr>
            <w:tcW w:w="8275" w:type="dxa"/>
          </w:tcPr>
          <w:p w14:paraId="3E09AAF7" w14:textId="4A78870E" w:rsidR="0061565E" w:rsidRPr="001D2783" w:rsidRDefault="0061565E" w:rsidP="001D2783">
            <w:pPr>
              <w:pStyle w:val="Table"/>
              <w:jc w:val="center"/>
              <w:rPr>
                <w:b/>
              </w:rPr>
            </w:pPr>
            <w:r w:rsidRPr="001D2783">
              <w:rPr>
                <w:b/>
              </w:rPr>
              <w:t>Description</w:t>
            </w:r>
          </w:p>
        </w:tc>
      </w:tr>
      <w:tr w:rsidR="0061565E" w14:paraId="4C1CF590" w14:textId="77777777" w:rsidTr="00D71ED6">
        <w:tc>
          <w:tcPr>
            <w:tcW w:w="2515" w:type="dxa"/>
          </w:tcPr>
          <w:p w14:paraId="0F29AC9B" w14:textId="0350620E" w:rsidR="0061565E" w:rsidRDefault="0061565E" w:rsidP="001D2783">
            <w:pPr>
              <w:pStyle w:val="Table"/>
              <w:jc w:val="center"/>
            </w:pPr>
            <w:r>
              <w:t>Jones1994.pdf</w:t>
            </w:r>
          </w:p>
        </w:tc>
        <w:tc>
          <w:tcPr>
            <w:tcW w:w="8275" w:type="dxa"/>
          </w:tcPr>
          <w:p w14:paraId="4CCF69DC" w14:textId="2DD5DCD3" w:rsidR="0061565E" w:rsidRDefault="0061565E" w:rsidP="001D2783">
            <w:pPr>
              <w:pStyle w:val="Table"/>
            </w:pPr>
            <w:r w:rsidRPr="001D2783">
              <w:t>Paper</w:t>
            </w:r>
            <w:r>
              <w:t xml:space="preserve"> describing mathematical model of </w:t>
            </w:r>
            <w:r w:rsidR="00D87A1A">
              <w:t xml:space="preserve">the clotting cascade. </w:t>
            </w:r>
            <w:r w:rsidR="00D87A1A" w:rsidRPr="00433F15">
              <w:rPr>
                <w:b/>
              </w:rPr>
              <w:t>You will reproduce all six of the figures.</w:t>
            </w:r>
          </w:p>
        </w:tc>
      </w:tr>
      <w:tr w:rsidR="0061565E" w14:paraId="457A622A" w14:textId="77777777" w:rsidTr="00D71ED6">
        <w:tc>
          <w:tcPr>
            <w:tcW w:w="2515" w:type="dxa"/>
          </w:tcPr>
          <w:p w14:paraId="0E056A96" w14:textId="04D56B9B" w:rsidR="0061565E" w:rsidRDefault="0061565E" w:rsidP="001D2783">
            <w:pPr>
              <w:pStyle w:val="Table"/>
              <w:jc w:val="center"/>
            </w:pPr>
            <w:r>
              <w:t>Lawson1994.pdf</w:t>
            </w:r>
          </w:p>
        </w:tc>
        <w:tc>
          <w:tcPr>
            <w:tcW w:w="8275" w:type="dxa"/>
          </w:tcPr>
          <w:p w14:paraId="00D6A4BC" w14:textId="16CA7010" w:rsidR="0061565E" w:rsidRDefault="00D87A1A" w:rsidP="001D2783">
            <w:pPr>
              <w:pStyle w:val="Table"/>
            </w:pPr>
            <w:r>
              <w:t>Paper describing experimental determination of key model parameters. You will obtain starting concentrations here.</w:t>
            </w:r>
          </w:p>
        </w:tc>
      </w:tr>
      <w:tr w:rsidR="0061565E" w14:paraId="0AE05B09" w14:textId="77777777" w:rsidTr="00D71ED6">
        <w:tc>
          <w:tcPr>
            <w:tcW w:w="2515" w:type="dxa"/>
          </w:tcPr>
          <w:p w14:paraId="0314C300" w14:textId="3D5AFCFD" w:rsidR="0061565E" w:rsidRDefault="003E299C" w:rsidP="001D2783">
            <w:pPr>
              <w:pStyle w:val="Table"/>
              <w:jc w:val="center"/>
            </w:pPr>
            <w:proofErr w:type="spellStart"/>
            <w:r>
              <w:t>tutorialfunction</w:t>
            </w:r>
            <w:r w:rsidR="007C0E96">
              <w:t>.m</w:t>
            </w:r>
            <w:proofErr w:type="spellEnd"/>
          </w:p>
        </w:tc>
        <w:tc>
          <w:tcPr>
            <w:tcW w:w="8275" w:type="dxa"/>
          </w:tcPr>
          <w:p w14:paraId="4E89787E" w14:textId="2DDF2456" w:rsidR="0061565E" w:rsidRDefault="007C0E96" w:rsidP="001D2783">
            <w:pPr>
              <w:pStyle w:val="Table"/>
            </w:pPr>
            <w:r>
              <w:t xml:space="preserve">A MATLAB function </w:t>
            </w:r>
            <w:r w:rsidR="002168E2">
              <w:t>demonstrating how to encode a system of equations for numerical integration.</w:t>
            </w:r>
          </w:p>
        </w:tc>
      </w:tr>
      <w:tr w:rsidR="0061565E" w14:paraId="193C862D" w14:textId="77777777" w:rsidTr="00D71ED6">
        <w:tc>
          <w:tcPr>
            <w:tcW w:w="2515" w:type="dxa"/>
          </w:tcPr>
          <w:p w14:paraId="5C1129E8" w14:textId="3C7197B5" w:rsidR="0061565E" w:rsidRDefault="003E299C" w:rsidP="001D2783">
            <w:pPr>
              <w:pStyle w:val="Table"/>
              <w:jc w:val="center"/>
            </w:pPr>
            <w:proofErr w:type="spellStart"/>
            <w:r>
              <w:t>tutorialscript</w:t>
            </w:r>
            <w:r w:rsidR="002168E2">
              <w:t>.m</w:t>
            </w:r>
            <w:proofErr w:type="spellEnd"/>
          </w:p>
        </w:tc>
        <w:tc>
          <w:tcPr>
            <w:tcW w:w="8275" w:type="dxa"/>
          </w:tcPr>
          <w:p w14:paraId="1981879E" w14:textId="77039854" w:rsidR="0061565E" w:rsidRDefault="002168E2" w:rsidP="001D2783">
            <w:pPr>
              <w:pStyle w:val="Table"/>
            </w:pPr>
            <w:r>
              <w:t xml:space="preserve">A MATLAB script that uses </w:t>
            </w:r>
            <w:proofErr w:type="spellStart"/>
            <w:r>
              <w:t>example.m</w:t>
            </w:r>
            <w:proofErr w:type="spellEnd"/>
            <w:r>
              <w:t xml:space="preserve"> in simulations and plots figures of the output.</w:t>
            </w:r>
          </w:p>
        </w:tc>
      </w:tr>
      <w:tr w:rsidR="003E299C" w14:paraId="22D5C92F" w14:textId="77777777" w:rsidTr="00D71ED6">
        <w:tc>
          <w:tcPr>
            <w:tcW w:w="2515" w:type="dxa"/>
          </w:tcPr>
          <w:p w14:paraId="1817F755" w14:textId="1B90A670" w:rsidR="003E299C" w:rsidRPr="003E2528" w:rsidRDefault="003E299C" w:rsidP="001D2783">
            <w:pPr>
              <w:pStyle w:val="Table"/>
              <w:jc w:val="center"/>
              <w:rPr>
                <w:b/>
              </w:rPr>
            </w:pPr>
            <w:proofErr w:type="spellStart"/>
            <w:r w:rsidRPr="003E2528">
              <w:rPr>
                <w:b/>
              </w:rPr>
              <w:t>coagulation.m</w:t>
            </w:r>
            <w:proofErr w:type="spellEnd"/>
          </w:p>
        </w:tc>
        <w:tc>
          <w:tcPr>
            <w:tcW w:w="8275" w:type="dxa"/>
          </w:tcPr>
          <w:p w14:paraId="6A784401" w14:textId="56275251" w:rsidR="003E299C" w:rsidRPr="003E2528" w:rsidRDefault="003E299C" w:rsidP="001D2783">
            <w:pPr>
              <w:pStyle w:val="Table"/>
              <w:rPr>
                <w:b/>
              </w:rPr>
            </w:pPr>
            <w:r w:rsidRPr="003E2528">
              <w:rPr>
                <w:b/>
              </w:rPr>
              <w:t>A template for your coagulation function, with the first equation encoded.</w:t>
            </w:r>
          </w:p>
        </w:tc>
      </w:tr>
      <w:tr w:rsidR="003E299C" w14:paraId="7773D9A7" w14:textId="77777777" w:rsidTr="00D71ED6">
        <w:tc>
          <w:tcPr>
            <w:tcW w:w="2515" w:type="dxa"/>
          </w:tcPr>
          <w:p w14:paraId="016B4910" w14:textId="3FFAF751" w:rsidR="003E299C" w:rsidRPr="003E2528" w:rsidRDefault="005B2B8F" w:rsidP="001D2783">
            <w:pPr>
              <w:pStyle w:val="Table"/>
              <w:jc w:val="center"/>
              <w:rPr>
                <w:b/>
              </w:rPr>
            </w:pPr>
            <w:r w:rsidRPr="003E2528">
              <w:rPr>
                <w:b/>
              </w:rPr>
              <w:t>figure2</w:t>
            </w:r>
            <w:r w:rsidR="003E299C" w:rsidRPr="003E2528">
              <w:rPr>
                <w:b/>
              </w:rPr>
              <w:t>.m</w:t>
            </w:r>
          </w:p>
        </w:tc>
        <w:tc>
          <w:tcPr>
            <w:tcW w:w="8275" w:type="dxa"/>
          </w:tcPr>
          <w:p w14:paraId="0BDEA530" w14:textId="131A9A55" w:rsidR="003E299C" w:rsidRPr="003E2528" w:rsidRDefault="003E299C" w:rsidP="001D2783">
            <w:pPr>
              <w:pStyle w:val="Table"/>
              <w:rPr>
                <w:b/>
              </w:rPr>
            </w:pPr>
            <w:r w:rsidRPr="003E2528">
              <w:rPr>
                <w:b/>
              </w:rPr>
              <w:t>A starting point for running the simulation and generating figures.</w:t>
            </w:r>
            <w:r w:rsidR="005B2B8F" w:rsidRPr="003E2528">
              <w:rPr>
                <w:b/>
              </w:rPr>
              <w:t xml:space="preserve"> Once </w:t>
            </w:r>
            <w:proofErr w:type="spellStart"/>
            <w:r w:rsidR="005B2B8F" w:rsidRPr="003E2528">
              <w:rPr>
                <w:b/>
              </w:rPr>
              <w:t>coagulation.m</w:t>
            </w:r>
            <w:proofErr w:type="spellEnd"/>
            <w:r w:rsidR="005B2B8F" w:rsidRPr="003E2528">
              <w:rPr>
                <w:b/>
              </w:rPr>
              <w:t xml:space="preserve"> is completed, this script will generate figures 2</w:t>
            </w:r>
          </w:p>
        </w:tc>
      </w:tr>
      <w:tr w:rsidR="009B7195" w14:paraId="310D7E04" w14:textId="77777777" w:rsidTr="00D71ED6">
        <w:tc>
          <w:tcPr>
            <w:tcW w:w="2515" w:type="dxa"/>
          </w:tcPr>
          <w:p w14:paraId="08EDAB24" w14:textId="347CC537" w:rsidR="009B7195" w:rsidRDefault="00433F15" w:rsidP="009B7195">
            <w:pPr>
              <w:pStyle w:val="Table"/>
              <w:jc w:val="center"/>
            </w:pPr>
            <w:r>
              <w:t>f</w:t>
            </w:r>
            <w:r w:rsidR="009B7195">
              <w:t>igure2a</w:t>
            </w:r>
            <w:r w:rsidR="00D71ED6">
              <w:t>-</w:t>
            </w:r>
            <w:r w:rsidR="006F253C">
              <w:t>correct</w:t>
            </w:r>
            <w:r w:rsidR="009B7195">
              <w:t>.png</w:t>
            </w:r>
          </w:p>
        </w:tc>
        <w:tc>
          <w:tcPr>
            <w:tcW w:w="8275" w:type="dxa"/>
          </w:tcPr>
          <w:p w14:paraId="20CB4472" w14:textId="3914FEBD" w:rsidR="009B7195" w:rsidRPr="009B7195" w:rsidRDefault="009B7195" w:rsidP="009B7195">
            <w:pPr>
              <w:pStyle w:val="Table"/>
            </w:pPr>
            <w:r w:rsidRPr="009B7195">
              <w:t>Output of Figure</w:t>
            </w:r>
            <w:proofErr w:type="gramStart"/>
            <w:r w:rsidRPr="009B7195">
              <w:t>2.m</w:t>
            </w:r>
            <w:r w:rsidR="00433F15">
              <w:t>.</w:t>
            </w:r>
            <w:proofErr w:type="gramEnd"/>
            <w:r w:rsidR="00433F15">
              <w:t xml:space="preserve"> This is what a correct </w:t>
            </w:r>
            <w:proofErr w:type="spellStart"/>
            <w:r w:rsidR="00433F15">
              <w:t>coagulation.m</w:t>
            </w:r>
            <w:proofErr w:type="spellEnd"/>
            <w:r w:rsidR="00433F15">
              <w:t xml:space="preserve"> produces.</w:t>
            </w:r>
          </w:p>
        </w:tc>
      </w:tr>
      <w:tr w:rsidR="00433F15" w14:paraId="3385EFAE" w14:textId="77777777" w:rsidTr="00D71ED6">
        <w:tc>
          <w:tcPr>
            <w:tcW w:w="2515" w:type="dxa"/>
          </w:tcPr>
          <w:p w14:paraId="26677F19" w14:textId="5F8DCA25" w:rsidR="00433F15" w:rsidRDefault="00433F15" w:rsidP="00433F15">
            <w:pPr>
              <w:pStyle w:val="Table"/>
              <w:jc w:val="center"/>
            </w:pPr>
            <w:r>
              <w:t>figure2b</w:t>
            </w:r>
            <w:r w:rsidR="00D71ED6">
              <w:t>-</w:t>
            </w:r>
            <w:r w:rsidR="006F253C">
              <w:t>correct</w:t>
            </w:r>
            <w:r>
              <w:t>.png</w:t>
            </w:r>
          </w:p>
        </w:tc>
        <w:tc>
          <w:tcPr>
            <w:tcW w:w="8275" w:type="dxa"/>
          </w:tcPr>
          <w:p w14:paraId="6B839F5F" w14:textId="36C02FA2" w:rsidR="00433F15" w:rsidRPr="009B7195" w:rsidRDefault="00433F15" w:rsidP="00433F15">
            <w:pPr>
              <w:pStyle w:val="Table"/>
            </w:pPr>
            <w:r w:rsidRPr="009B7195">
              <w:t>Output of Figure</w:t>
            </w:r>
            <w:proofErr w:type="gramStart"/>
            <w:r w:rsidRPr="009B7195">
              <w:t>2.m</w:t>
            </w:r>
            <w:r>
              <w:t>.</w:t>
            </w:r>
            <w:proofErr w:type="gramEnd"/>
            <w:r>
              <w:t xml:space="preserve"> This is what a correct </w:t>
            </w:r>
            <w:proofErr w:type="spellStart"/>
            <w:r>
              <w:t>coagulation.m</w:t>
            </w:r>
            <w:proofErr w:type="spellEnd"/>
            <w:r>
              <w:t xml:space="preserve"> produces.</w:t>
            </w:r>
          </w:p>
        </w:tc>
      </w:tr>
      <w:tr w:rsidR="00433F15" w14:paraId="76E067F7" w14:textId="77777777" w:rsidTr="00D71ED6">
        <w:tc>
          <w:tcPr>
            <w:tcW w:w="2515" w:type="dxa"/>
          </w:tcPr>
          <w:p w14:paraId="61AFBD60" w14:textId="64E18DF2" w:rsidR="00433F15" w:rsidRDefault="00433F15" w:rsidP="00433F15">
            <w:pPr>
              <w:pStyle w:val="Table"/>
              <w:jc w:val="center"/>
            </w:pPr>
            <w:r>
              <w:t>figure2</w:t>
            </w:r>
            <w:r w:rsidR="001A4DA6">
              <w:t>c</w:t>
            </w:r>
            <w:r w:rsidR="00D71ED6">
              <w:t>-</w:t>
            </w:r>
            <w:r w:rsidR="006F253C">
              <w:t>correct</w:t>
            </w:r>
            <w:r>
              <w:t>.png</w:t>
            </w:r>
          </w:p>
        </w:tc>
        <w:tc>
          <w:tcPr>
            <w:tcW w:w="8275" w:type="dxa"/>
          </w:tcPr>
          <w:p w14:paraId="2E00FC6B" w14:textId="119DBD46" w:rsidR="00433F15" w:rsidRPr="009B7195" w:rsidRDefault="00433F15" w:rsidP="00433F15">
            <w:pPr>
              <w:pStyle w:val="Table"/>
            </w:pPr>
            <w:r w:rsidRPr="009B7195">
              <w:t>Output of Figure</w:t>
            </w:r>
            <w:proofErr w:type="gramStart"/>
            <w:r w:rsidRPr="009B7195">
              <w:t>2.m</w:t>
            </w:r>
            <w:r>
              <w:t>.</w:t>
            </w:r>
            <w:proofErr w:type="gramEnd"/>
            <w:r>
              <w:t xml:space="preserve"> This is what a correct </w:t>
            </w:r>
            <w:proofErr w:type="spellStart"/>
            <w:r>
              <w:t>coagulation.m</w:t>
            </w:r>
            <w:proofErr w:type="spellEnd"/>
            <w:r>
              <w:t xml:space="preserve"> produces.</w:t>
            </w:r>
          </w:p>
        </w:tc>
      </w:tr>
      <w:tr w:rsidR="009B7195" w14:paraId="3E3095EB" w14:textId="77777777" w:rsidTr="00D71ED6">
        <w:tc>
          <w:tcPr>
            <w:tcW w:w="2515" w:type="dxa"/>
          </w:tcPr>
          <w:p w14:paraId="1E3B62E9" w14:textId="66A997EA" w:rsidR="009B7195" w:rsidRDefault="00433F15" w:rsidP="009B7195">
            <w:pPr>
              <w:pStyle w:val="Table"/>
              <w:jc w:val="center"/>
            </w:pPr>
            <w:r>
              <w:t>f</w:t>
            </w:r>
            <w:r w:rsidR="009B7195">
              <w:t>igure3</w:t>
            </w:r>
            <w:r w:rsidR="00D71ED6">
              <w:t>-</w:t>
            </w:r>
            <w:r w:rsidR="006F253C">
              <w:t>correct</w:t>
            </w:r>
            <w:r w:rsidR="009B7195">
              <w:t>.png</w:t>
            </w:r>
          </w:p>
        </w:tc>
        <w:tc>
          <w:tcPr>
            <w:tcW w:w="8275" w:type="dxa"/>
          </w:tcPr>
          <w:p w14:paraId="674E3412" w14:textId="39F0C77E" w:rsidR="009B7195" w:rsidRPr="009B7195" w:rsidRDefault="009B7195" w:rsidP="009B7195">
            <w:pPr>
              <w:pStyle w:val="Table"/>
            </w:pPr>
            <w:r w:rsidRPr="009B7195">
              <w:t xml:space="preserve">What your </w:t>
            </w:r>
            <w:r>
              <w:t>figure 3 should look like.</w:t>
            </w:r>
          </w:p>
        </w:tc>
      </w:tr>
      <w:tr w:rsidR="00433F15" w14:paraId="69CD3BBC" w14:textId="77777777" w:rsidTr="00D71ED6">
        <w:tc>
          <w:tcPr>
            <w:tcW w:w="2515" w:type="dxa"/>
          </w:tcPr>
          <w:p w14:paraId="206962E8" w14:textId="3D328EE1" w:rsidR="00433F15" w:rsidRPr="003E2528" w:rsidRDefault="00433F15" w:rsidP="009B7195">
            <w:pPr>
              <w:pStyle w:val="Table"/>
              <w:jc w:val="center"/>
              <w:rPr>
                <w:b/>
              </w:rPr>
            </w:pPr>
            <w:r w:rsidRPr="003E2528">
              <w:rPr>
                <w:b/>
              </w:rPr>
              <w:t>template.docx</w:t>
            </w:r>
          </w:p>
        </w:tc>
        <w:tc>
          <w:tcPr>
            <w:tcW w:w="8275" w:type="dxa"/>
          </w:tcPr>
          <w:p w14:paraId="060430B5" w14:textId="0ACF8BE6" w:rsidR="00433F15" w:rsidRPr="003E2528" w:rsidRDefault="00433F15" w:rsidP="009B7195">
            <w:pPr>
              <w:pStyle w:val="Table"/>
              <w:rPr>
                <w:b/>
              </w:rPr>
            </w:pPr>
            <w:r w:rsidRPr="003E2528">
              <w:rPr>
                <w:b/>
              </w:rPr>
              <w:t>Writing prompt</w:t>
            </w:r>
          </w:p>
        </w:tc>
      </w:tr>
    </w:tbl>
    <w:p w14:paraId="15E95F19" w14:textId="77777777" w:rsidR="00433F15" w:rsidRDefault="00433F15" w:rsidP="00433F15"/>
    <w:p w14:paraId="5CA5F125" w14:textId="5E6CFB16" w:rsidR="00433F15" w:rsidRDefault="00433F15" w:rsidP="00433F15">
      <w:pPr>
        <w:pStyle w:val="Heading2"/>
      </w:pPr>
      <w:r>
        <w:t>Instructions</w:t>
      </w:r>
    </w:p>
    <w:p w14:paraId="4FEAFF5A" w14:textId="41664D2E" w:rsidR="00DB6064" w:rsidRDefault="00DB6064" w:rsidP="00DB6064">
      <w:r>
        <w:t xml:space="preserve">Read the introduction to </w:t>
      </w:r>
      <w:r w:rsidR="00433F15">
        <w:t>Lawson1994.pdf (the text up until the section entitled “Experimental Procedures”).</w:t>
      </w:r>
      <w:r>
        <w:rPr>
          <w:i/>
        </w:rPr>
        <w:t xml:space="preserve"> </w:t>
      </w:r>
      <w:r>
        <w:t>This section introduces the coagulation cascade which you will model in the project.</w:t>
      </w:r>
      <w:r w:rsidR="00FB34AA">
        <w:t xml:space="preserve"> Then read Jones1994.pdf.</w:t>
      </w:r>
    </w:p>
    <w:p w14:paraId="306C0776" w14:textId="06D11EDF" w:rsidR="00433F15" w:rsidRPr="00433F15" w:rsidRDefault="00433F15" w:rsidP="00DB6064">
      <w:pPr>
        <w:rPr>
          <w:b/>
        </w:rPr>
      </w:pPr>
      <w:r>
        <w:t xml:space="preserve">Two MATLAB files, </w:t>
      </w:r>
      <w:proofErr w:type="spellStart"/>
      <w:r>
        <w:t>tutorialfunction.m</w:t>
      </w:r>
      <w:proofErr w:type="spellEnd"/>
      <w:r>
        <w:t xml:space="preserve"> and </w:t>
      </w:r>
      <w:proofErr w:type="spellStart"/>
      <w:r>
        <w:t>tutorialscript.m</w:t>
      </w:r>
      <w:proofErr w:type="spellEnd"/>
      <w:r>
        <w:t xml:space="preserve">, are provided to demonstrate how to encode systems of ordinary differential equations, how to solve them, and how to create several types of plots. </w:t>
      </w:r>
      <w:r>
        <w:rPr>
          <w:b/>
        </w:rPr>
        <w:t xml:space="preserve">Read through these files and make sure </w:t>
      </w:r>
      <w:r w:rsidR="00EE30D7">
        <w:rPr>
          <w:b/>
        </w:rPr>
        <w:t>you understand how they work.</w:t>
      </w:r>
    </w:p>
    <w:p w14:paraId="5CA6F527" w14:textId="669FD559" w:rsidR="00433F15" w:rsidRDefault="00433F15" w:rsidP="00DB6064">
      <w:r>
        <w:t xml:space="preserve">Two other MATLAB files, </w:t>
      </w:r>
      <w:proofErr w:type="spellStart"/>
      <w:r>
        <w:t>coagulation.m</w:t>
      </w:r>
      <w:proofErr w:type="spellEnd"/>
      <w:r>
        <w:t xml:space="preserve"> and figure2.m, are provided as starting points.</w:t>
      </w:r>
    </w:p>
    <w:p w14:paraId="1CC8A781" w14:textId="02ECAE63" w:rsidR="00223575" w:rsidRDefault="00223575" w:rsidP="00223575">
      <w:pPr>
        <w:pStyle w:val="ListParagraph"/>
        <w:numPr>
          <w:ilvl w:val="0"/>
          <w:numId w:val="17"/>
        </w:numPr>
      </w:pPr>
      <w:r>
        <w:t xml:space="preserve">Fill in the missing governing </w:t>
      </w:r>
      <w:r w:rsidR="00067B02">
        <w:t xml:space="preserve">equations in </w:t>
      </w:r>
      <w:proofErr w:type="spellStart"/>
      <w:r w:rsidR="00067B02">
        <w:t>coagulation.m</w:t>
      </w:r>
      <w:proofErr w:type="spellEnd"/>
    </w:p>
    <w:p w14:paraId="4CEAB21A" w14:textId="2432F2B9" w:rsidR="00067B02" w:rsidRDefault="00067B02" w:rsidP="00223575">
      <w:pPr>
        <w:pStyle w:val="ListParagraph"/>
        <w:numPr>
          <w:ilvl w:val="0"/>
          <w:numId w:val="17"/>
        </w:numPr>
      </w:pPr>
      <w:r>
        <w:t>Fill in the rate constants and initial values in figure2.m</w:t>
      </w:r>
    </w:p>
    <w:p w14:paraId="51966358" w14:textId="3F5DE9C4" w:rsidR="006F253C" w:rsidRDefault="006F253C" w:rsidP="00223575">
      <w:pPr>
        <w:pStyle w:val="ListParagraph"/>
        <w:numPr>
          <w:ilvl w:val="0"/>
          <w:numId w:val="17"/>
        </w:numPr>
      </w:pPr>
      <w:r>
        <w:t>When you run figure2.m, you should get three figures that match figure2a_correct.png, figure2b_correct.png, figure2c_correct.png.</w:t>
      </w:r>
    </w:p>
    <w:p w14:paraId="10DDDB33" w14:textId="2E5FE995" w:rsidR="006F253C" w:rsidRPr="00DB6064" w:rsidRDefault="006F253C" w:rsidP="00223575">
      <w:pPr>
        <w:pStyle w:val="ListParagraph"/>
        <w:numPr>
          <w:ilvl w:val="0"/>
          <w:numId w:val="17"/>
        </w:numPr>
      </w:pPr>
      <w:r>
        <w:t xml:space="preserve">At this point, you are on your own. Expand figure2.m so that it generates </w:t>
      </w:r>
      <w:proofErr w:type="gramStart"/>
      <w:r>
        <w:t>all of</w:t>
      </w:r>
      <w:proofErr w:type="gramEnd"/>
      <w:r>
        <w:t xml:space="preserve"> the other figures in Jones1994.pdf</w:t>
      </w:r>
    </w:p>
    <w:p w14:paraId="6CA98D0F" w14:textId="5443B38E" w:rsidR="00CA7833" w:rsidRDefault="00CA7833" w:rsidP="00CA7833">
      <w:r>
        <w:t xml:space="preserve">Submit the following components </w:t>
      </w:r>
      <w:r w:rsidR="00FB34AA">
        <w:rPr>
          <w:u w:val="single"/>
        </w:rPr>
        <w:t>to</w:t>
      </w:r>
      <w:r w:rsidR="00FB34AA" w:rsidRPr="00FB34AA">
        <w:rPr>
          <w:u w:val="single"/>
        </w:rPr>
        <w:t xml:space="preserve"> </w:t>
      </w:r>
      <w:proofErr w:type="spellStart"/>
      <w:r w:rsidR="00FB34AA" w:rsidRPr="00FB34AA">
        <w:rPr>
          <w:u w:val="single"/>
        </w:rPr>
        <w:t>iLEARN</w:t>
      </w:r>
      <w:proofErr w:type="spellEnd"/>
      <w:r>
        <w:t xml:space="preserve"> (</w:t>
      </w:r>
      <w:r w:rsidRPr="006A2145">
        <w:rPr>
          <w:b/>
        </w:rPr>
        <w:t>100 pts</w:t>
      </w:r>
      <w:r>
        <w:t xml:space="preserve"> possible):</w:t>
      </w:r>
    </w:p>
    <w:p w14:paraId="751F3FA7" w14:textId="77777777" w:rsidR="001D2783" w:rsidRDefault="00CA7833" w:rsidP="001D2783">
      <w:pPr>
        <w:pStyle w:val="ListParagraph"/>
        <w:numPr>
          <w:ilvl w:val="0"/>
          <w:numId w:val="15"/>
        </w:numPr>
      </w:pPr>
      <w:r w:rsidRPr="009B7195">
        <w:rPr>
          <w:b/>
        </w:rPr>
        <w:t xml:space="preserve">One </w:t>
      </w:r>
      <w:proofErr w:type="spellStart"/>
      <w:r w:rsidRPr="009B7195">
        <w:rPr>
          <w:b/>
        </w:rPr>
        <w:t>matlab</w:t>
      </w:r>
      <w:proofErr w:type="spellEnd"/>
      <w:r w:rsidRPr="009B7195">
        <w:rPr>
          <w:b/>
        </w:rPr>
        <w:t xml:space="preserve"> script</w:t>
      </w:r>
      <w:r>
        <w:t xml:space="preserve"> (.m file) that: </w:t>
      </w:r>
    </w:p>
    <w:p w14:paraId="52EC7729" w14:textId="1623047D" w:rsidR="001D2783" w:rsidRPr="001D2783" w:rsidRDefault="00CA7833" w:rsidP="001D2783">
      <w:pPr>
        <w:pStyle w:val="ListParagraph"/>
        <w:numPr>
          <w:ilvl w:val="1"/>
          <w:numId w:val="15"/>
        </w:numPr>
        <w:rPr>
          <w:b/>
        </w:rPr>
      </w:pPr>
      <w:r>
        <w:t xml:space="preserve">Calls the differential equation script to reproduce each figure, complete with </w:t>
      </w:r>
      <w:r w:rsidRPr="009B7195">
        <w:rPr>
          <w:u w:val="single"/>
        </w:rPr>
        <w:t>axes labels</w:t>
      </w:r>
      <w:r>
        <w:t xml:space="preserve">, </w:t>
      </w:r>
      <w:r w:rsidRPr="009B7195">
        <w:rPr>
          <w:u w:val="single"/>
        </w:rPr>
        <w:t>titles</w:t>
      </w:r>
      <w:r>
        <w:t xml:space="preserve">, and </w:t>
      </w:r>
      <w:r w:rsidRPr="009B7195">
        <w:rPr>
          <w:u w:val="single"/>
        </w:rPr>
        <w:t>legends</w:t>
      </w:r>
      <w:r>
        <w:t xml:space="preserve"> </w:t>
      </w:r>
      <w:r w:rsidRPr="001D2783">
        <w:rPr>
          <w:b/>
        </w:rPr>
        <w:t>(6</w:t>
      </w:r>
      <w:r w:rsidR="001D2783" w:rsidRPr="001D2783">
        <w:rPr>
          <w:b/>
        </w:rPr>
        <w:t xml:space="preserve"> × </w:t>
      </w:r>
      <w:r w:rsidRPr="001D2783">
        <w:rPr>
          <w:b/>
        </w:rPr>
        <w:t>10pts)</w:t>
      </w:r>
    </w:p>
    <w:p w14:paraId="5C315CC4" w14:textId="77777777" w:rsidR="005B2B8F" w:rsidRPr="005B2B8F" w:rsidRDefault="005A6349" w:rsidP="00CA7833">
      <w:pPr>
        <w:pStyle w:val="ListParagraph"/>
        <w:numPr>
          <w:ilvl w:val="1"/>
          <w:numId w:val="15"/>
        </w:numPr>
        <w:rPr>
          <w:b/>
        </w:rPr>
      </w:pPr>
      <w:r>
        <w:t>Contains a function encoding</w:t>
      </w:r>
      <w:r w:rsidR="001D2783">
        <w:t xml:space="preserve"> the differential equations that describe the coagulation cascade </w:t>
      </w:r>
      <w:r w:rsidR="001D2783" w:rsidRPr="001D2783">
        <w:rPr>
          <w:b/>
        </w:rPr>
        <w:t>(10 pts</w:t>
      </w:r>
      <w:r>
        <w:rPr>
          <w:b/>
        </w:rPr>
        <w:t xml:space="preserve">). </w:t>
      </w:r>
      <w:r>
        <w:t>This must be at the end of the script.</w:t>
      </w:r>
    </w:p>
    <w:p w14:paraId="1E007399" w14:textId="7CCD9037" w:rsidR="005B2B8F" w:rsidRPr="009B7195" w:rsidRDefault="00CA7833" w:rsidP="00CA7833">
      <w:pPr>
        <w:pStyle w:val="ListParagraph"/>
        <w:numPr>
          <w:ilvl w:val="0"/>
          <w:numId w:val="15"/>
        </w:numPr>
        <w:rPr>
          <w:b/>
        </w:rPr>
      </w:pPr>
      <w:r w:rsidRPr="009B7195">
        <w:rPr>
          <w:b/>
        </w:rPr>
        <w:t xml:space="preserve">A 1 page write up </w:t>
      </w:r>
      <w:r w:rsidR="003E2528">
        <w:rPr>
          <w:b/>
        </w:rPr>
        <w:t>(see template)</w:t>
      </w:r>
      <w:r w:rsidR="005B2B8F" w:rsidRPr="009B7195">
        <w:rPr>
          <w:b/>
        </w:rPr>
        <w:t xml:space="preserve"> that:</w:t>
      </w:r>
    </w:p>
    <w:p w14:paraId="085EC6BD" w14:textId="3ECF27B5" w:rsidR="005B2B8F" w:rsidRPr="005B2B8F" w:rsidRDefault="00CA7833" w:rsidP="00CA7833">
      <w:pPr>
        <w:pStyle w:val="ListParagraph"/>
        <w:numPr>
          <w:ilvl w:val="1"/>
          <w:numId w:val="15"/>
        </w:numPr>
        <w:rPr>
          <w:b/>
        </w:rPr>
      </w:pPr>
      <w:r>
        <w:t xml:space="preserve">Summarizes the main goal and results of the paper </w:t>
      </w:r>
      <w:r w:rsidRPr="006F253C">
        <w:rPr>
          <w:b/>
        </w:rPr>
        <w:t>(</w:t>
      </w:r>
      <w:r w:rsidR="006F253C" w:rsidRPr="006F253C">
        <w:rPr>
          <w:b/>
        </w:rPr>
        <w:t>2</w:t>
      </w:r>
      <w:r w:rsidRPr="006F253C">
        <w:rPr>
          <w:b/>
        </w:rPr>
        <w:t>0 pts)</w:t>
      </w:r>
    </w:p>
    <w:p w14:paraId="6C07E977" w14:textId="4E8D4867" w:rsidR="00BF35BF" w:rsidRDefault="00CA7833" w:rsidP="00561055">
      <w:pPr>
        <w:pStyle w:val="ListParagraph"/>
        <w:numPr>
          <w:ilvl w:val="1"/>
          <w:numId w:val="15"/>
        </w:numPr>
        <w:spacing w:after="0"/>
      </w:pPr>
      <w:r>
        <w:t xml:space="preserve">Discusses the implications of the model/results (i.e. “So what?”) </w:t>
      </w:r>
      <w:r w:rsidRPr="00561055">
        <w:rPr>
          <w:b/>
        </w:rPr>
        <w:t>(10 pts)</w:t>
      </w:r>
      <w:r w:rsidR="00BF35BF">
        <w:br w:type="page"/>
      </w:r>
    </w:p>
    <w:p w14:paraId="2EFE2370" w14:textId="77777777" w:rsidR="00CA7833" w:rsidRDefault="00CA7833" w:rsidP="00CA7833"/>
    <w:p w14:paraId="069469CD" w14:textId="7E521CA0" w:rsidR="00CA7833" w:rsidRPr="00E9125B" w:rsidRDefault="00BF35BF" w:rsidP="00BF35BF">
      <w:pPr>
        <w:jc w:val="center"/>
        <w:rPr>
          <w:b/>
        </w:rPr>
      </w:pPr>
      <w:r w:rsidRPr="00E9125B">
        <w:rPr>
          <w:b/>
        </w:rPr>
        <w:t>VERY IMPORTANT NOTES:</w:t>
      </w:r>
    </w:p>
    <w:p w14:paraId="67CDC94B" w14:textId="2C33153C" w:rsidR="00832E89" w:rsidRDefault="00E9125B" w:rsidP="00CA7833">
      <w:pPr>
        <w:pStyle w:val="ListParagraph"/>
        <w:numPr>
          <w:ilvl w:val="0"/>
          <w:numId w:val="16"/>
        </w:numPr>
      </w:pPr>
      <w:r>
        <w:t xml:space="preserve">While </w:t>
      </w:r>
      <w:r w:rsidR="003E299C">
        <w:t>Jones1994</w:t>
      </w:r>
      <w:r>
        <w:t xml:space="preserve"> is a</w:t>
      </w:r>
      <w:r w:rsidR="00832E89">
        <w:t xml:space="preserve"> fantastic paper, </w:t>
      </w:r>
      <w:r w:rsidR="00832E89" w:rsidRPr="00BF35BF">
        <w:rPr>
          <w:u w:val="single"/>
        </w:rPr>
        <w:t>the published version has many typos</w:t>
      </w:r>
      <w:r w:rsidR="00832E89">
        <w:t xml:space="preserve">. The PDF distributed here has been corrected. </w:t>
      </w:r>
      <w:r w:rsidR="00CA7833">
        <w:t xml:space="preserve">Review the Additions and Corrections (last page of PDF) </w:t>
      </w:r>
      <w:r w:rsidR="00832E89">
        <w:t>for more details.</w:t>
      </w:r>
    </w:p>
    <w:p w14:paraId="3EC26767" w14:textId="0EFE8F5D" w:rsidR="006F253C" w:rsidRDefault="00736A6D" w:rsidP="00CA7833">
      <w:pPr>
        <w:pStyle w:val="ListParagraph"/>
        <w:numPr>
          <w:ilvl w:val="0"/>
          <w:numId w:val="16"/>
        </w:numPr>
      </w:pPr>
      <w:r>
        <w:t>You do not have to plot the squares in Figure 1A.</w:t>
      </w:r>
    </w:p>
    <w:p w14:paraId="7BB64E96" w14:textId="735C26D7" w:rsidR="00832E89" w:rsidRDefault="00CA7833" w:rsidP="00CA7833">
      <w:pPr>
        <w:pStyle w:val="ListParagraph"/>
        <w:numPr>
          <w:ilvl w:val="0"/>
          <w:numId w:val="16"/>
        </w:numPr>
      </w:pPr>
      <w:r>
        <w:t>Prothrombin is Factor II</w:t>
      </w:r>
      <w:r w:rsidR="00832E89">
        <w:t>;</w:t>
      </w:r>
      <w:r>
        <w:t xml:space="preserve"> Thrombin is </w:t>
      </w:r>
      <w:proofErr w:type="spellStart"/>
      <w:r>
        <w:t>IIa</w:t>
      </w:r>
      <w:proofErr w:type="spellEnd"/>
      <w:r w:rsidR="00832E89">
        <w:t>;</w:t>
      </w:r>
      <w:r>
        <w:t xml:space="preserve"> </w:t>
      </w:r>
      <w:proofErr w:type="spellStart"/>
      <w:r>
        <w:t>meizothrombin</w:t>
      </w:r>
      <w:proofErr w:type="spellEnd"/>
      <w:r>
        <w:t xml:space="preserve"> is </w:t>
      </w:r>
      <w:proofErr w:type="spellStart"/>
      <w:r>
        <w:t>mIIa</w:t>
      </w:r>
      <w:proofErr w:type="spellEnd"/>
    </w:p>
    <w:p w14:paraId="3B2C5EE8" w14:textId="0B0FAC92" w:rsidR="00832E89" w:rsidRDefault="00CA7833" w:rsidP="00832E89">
      <w:pPr>
        <w:pStyle w:val="ListParagraph"/>
        <w:numPr>
          <w:ilvl w:val="0"/>
          <w:numId w:val="16"/>
        </w:numPr>
      </w:pPr>
      <w:r>
        <w:t>In the model, d[</w:t>
      </w:r>
      <w:proofErr w:type="spellStart"/>
      <w:r>
        <w:t>VIIIa•IXa</w:t>
      </w:r>
      <w:proofErr w:type="spellEnd"/>
      <w:r>
        <w:t xml:space="preserve">]/dt (Eq. 8) has a final component based on </w:t>
      </w:r>
      <w:r w:rsidR="00832E89">
        <w:rPr>
          <w:rFonts w:ascii="Times New Roman" w:hAnsi="Times New Roman" w:cs="Times New Roman"/>
        </w:rPr>
        <w:t>I</w:t>
      </w:r>
      <w:r>
        <w:t xml:space="preserve">: </w:t>
      </w:r>
      <w:proofErr w:type="gramStart"/>
      <w:r>
        <w:t>“ –</w:t>
      </w:r>
      <w:proofErr w:type="gramEnd"/>
      <w:r>
        <w:t xml:space="preserve"> (f</w:t>
      </w:r>
      <w:r w:rsidRPr="00AC62ED">
        <w:rPr>
          <w:vertAlign w:val="subscript"/>
        </w:rPr>
        <w:t>abs</w:t>
      </w:r>
      <w:r>
        <w:t>(I-[</w:t>
      </w:r>
      <w:proofErr w:type="spellStart"/>
      <w:r>
        <w:t>VIIIa•IXa</w:t>
      </w:r>
      <w:proofErr w:type="spellEnd"/>
      <w:r>
        <w:t>])) + (</w:t>
      </w:r>
      <w:r w:rsidRPr="00832E89">
        <w:rPr>
          <w:rFonts w:ascii="Times New Roman" w:hAnsi="Times New Roman" w:cs="Times New Roman"/>
        </w:rPr>
        <w:t>I</w:t>
      </w:r>
      <w:r>
        <w:t xml:space="preserve"> – [</w:t>
      </w:r>
      <w:proofErr w:type="spellStart"/>
      <w:r>
        <w:t>VIIIa•IXa</w:t>
      </w:r>
      <w:proofErr w:type="spellEnd"/>
      <w:r>
        <w:t xml:space="preserve">])” where </w:t>
      </w:r>
      <w:r w:rsidRPr="00832E89">
        <w:rPr>
          <w:rFonts w:ascii="Times New Roman" w:hAnsi="Times New Roman" w:cs="Times New Roman"/>
        </w:rPr>
        <w:t>I</w:t>
      </w:r>
      <w:r>
        <w:t xml:space="preserve"> is the maximal concentration of enzyme. This component describes the decay of [</w:t>
      </w:r>
      <w:proofErr w:type="spellStart"/>
      <w:r>
        <w:t>VIIIa•IXa</w:t>
      </w:r>
      <w:proofErr w:type="spellEnd"/>
      <w:r>
        <w:t xml:space="preserve">]. </w:t>
      </w:r>
    </w:p>
    <w:p w14:paraId="6FD37052" w14:textId="0DC649F3" w:rsidR="00832E89" w:rsidRPr="00832E89" w:rsidRDefault="00BF35BF" w:rsidP="00832E89">
      <w:pPr>
        <w:pStyle w:val="ListParagraph"/>
        <w:numPr>
          <w:ilvl w:val="1"/>
          <w:numId w:val="16"/>
        </w:numPr>
        <w:rPr>
          <w:b/>
          <w:color w:val="FF0000"/>
        </w:rPr>
      </w:pPr>
      <w:r>
        <w:rPr>
          <w:b/>
          <w:color w:val="FF0000"/>
        </w:rPr>
        <w:t>This</w:t>
      </w:r>
      <w:r w:rsidR="00CA7833" w:rsidRPr="00832E89">
        <w:rPr>
          <w:b/>
          <w:color w:val="FF0000"/>
        </w:rPr>
        <w:t xml:space="preserve"> component </w:t>
      </w:r>
      <w:r>
        <w:rPr>
          <w:b/>
          <w:color w:val="FF0000"/>
        </w:rPr>
        <w:t>is replaced with</w:t>
      </w:r>
      <w:r w:rsidR="00CA7833" w:rsidRPr="00832E89">
        <w:rPr>
          <w:b/>
          <w:color w:val="FF0000"/>
        </w:rPr>
        <w:t xml:space="preserve"> </w:t>
      </w:r>
      <w:proofErr w:type="gramStart"/>
      <w:r w:rsidR="00CA7833" w:rsidRPr="00832E89">
        <w:rPr>
          <w:b/>
          <w:color w:val="FF0000"/>
        </w:rPr>
        <w:t>“  –</w:t>
      </w:r>
      <w:proofErr w:type="gramEnd"/>
      <w:r w:rsidR="00CA7833" w:rsidRPr="00832E89">
        <w:rPr>
          <w:b/>
          <w:color w:val="FF0000"/>
        </w:rPr>
        <w:t>k</w:t>
      </w:r>
      <w:r w:rsidR="00CA7833" w:rsidRPr="00832E89">
        <w:rPr>
          <w:b/>
          <w:color w:val="FF0000"/>
          <w:vertAlign w:val="subscript"/>
        </w:rPr>
        <w:t>20</w:t>
      </w:r>
      <w:r w:rsidR="00CA7833" w:rsidRPr="00832E89">
        <w:rPr>
          <w:b/>
          <w:color w:val="FF0000"/>
        </w:rPr>
        <w:t xml:space="preserve"> [</w:t>
      </w:r>
      <w:proofErr w:type="spellStart"/>
      <w:r w:rsidR="00CA7833" w:rsidRPr="00832E89">
        <w:rPr>
          <w:b/>
          <w:color w:val="FF0000"/>
        </w:rPr>
        <w:t>VIIIa•IXa</w:t>
      </w:r>
      <w:proofErr w:type="spellEnd"/>
      <w:r w:rsidR="00CA7833" w:rsidRPr="00832E89">
        <w:rPr>
          <w:b/>
          <w:color w:val="FF0000"/>
        </w:rPr>
        <w:t>]”</w:t>
      </w:r>
      <w:r>
        <w:rPr>
          <w:b/>
          <w:color w:val="FF0000"/>
        </w:rPr>
        <w:t xml:space="preserve"> and has been provided for you</w:t>
      </w:r>
      <w:r w:rsidR="00AC62ED">
        <w:rPr>
          <w:b/>
          <w:color w:val="FF0000"/>
        </w:rPr>
        <w:t xml:space="preserve"> in </w:t>
      </w:r>
      <w:proofErr w:type="spellStart"/>
      <w:r w:rsidR="00AC62ED">
        <w:rPr>
          <w:b/>
          <w:color w:val="FF0000"/>
        </w:rPr>
        <w:t>coagulation.m</w:t>
      </w:r>
      <w:proofErr w:type="spellEnd"/>
    </w:p>
    <w:p w14:paraId="7AE0E24B" w14:textId="7E9F7AC7" w:rsidR="00832E89" w:rsidRDefault="00832E89" w:rsidP="00CA7833">
      <w:pPr>
        <w:pStyle w:val="ListParagraph"/>
        <w:numPr>
          <w:ilvl w:val="1"/>
          <w:numId w:val="16"/>
        </w:numPr>
        <w:rPr>
          <w:b/>
          <w:color w:val="FF0000"/>
        </w:rPr>
      </w:pPr>
      <w:r>
        <w:rPr>
          <w:b/>
          <w:color w:val="FF0000"/>
        </w:rPr>
        <w:t>Do</w:t>
      </w:r>
      <w:r w:rsidR="00CA7833" w:rsidRPr="00832E89">
        <w:rPr>
          <w:b/>
          <w:color w:val="FF0000"/>
        </w:rPr>
        <w:t xml:space="preserve"> </w:t>
      </w:r>
      <w:r>
        <w:rPr>
          <w:b/>
          <w:color w:val="FF0000"/>
        </w:rPr>
        <w:t>NOT</w:t>
      </w:r>
      <w:r w:rsidR="00CA7833" w:rsidRPr="00832E89">
        <w:rPr>
          <w:b/>
          <w:color w:val="FF0000"/>
        </w:rPr>
        <w:t xml:space="preserve"> use Eq. 20 in </w:t>
      </w:r>
      <w:r>
        <w:rPr>
          <w:b/>
          <w:color w:val="FF0000"/>
        </w:rPr>
        <w:t>y</w:t>
      </w:r>
      <w:r w:rsidR="00CA7833" w:rsidRPr="00832E89">
        <w:rPr>
          <w:b/>
          <w:color w:val="FF0000"/>
        </w:rPr>
        <w:t>our simulation.</w:t>
      </w:r>
    </w:p>
    <w:p w14:paraId="47362492" w14:textId="7B8EED46" w:rsidR="005B2B8F" w:rsidRPr="00832E89" w:rsidRDefault="005B2B8F" w:rsidP="00CA7833">
      <w:pPr>
        <w:pStyle w:val="ListParagraph"/>
        <w:numPr>
          <w:ilvl w:val="1"/>
          <w:numId w:val="16"/>
        </w:numPr>
        <w:rPr>
          <w:b/>
          <w:color w:val="FF0000"/>
        </w:rPr>
      </w:pPr>
      <w:r>
        <w:rPr>
          <w:b/>
          <w:color w:val="FF0000"/>
        </w:rPr>
        <w:t>Your</w:t>
      </w:r>
      <w:r w:rsidRPr="005B2B8F">
        <w:rPr>
          <w:b/>
          <w:color w:val="FF0000"/>
        </w:rPr>
        <w:t xml:space="preserve"> results will appear a little different from the paper. The most significant changes are in Figure 2 &amp; 3 (hence I am providing Fig. 2 as the example). Figure 3 also changes, and so </w:t>
      </w:r>
      <w:r>
        <w:rPr>
          <w:b/>
          <w:color w:val="FF0000"/>
        </w:rPr>
        <w:t xml:space="preserve">we include a picture of what </w:t>
      </w:r>
      <w:r w:rsidRPr="005B2B8F">
        <w:rPr>
          <w:b/>
          <w:color w:val="FF0000"/>
        </w:rPr>
        <w:t>Figure 3 should look like.</w:t>
      </w:r>
    </w:p>
    <w:p w14:paraId="31D7781F" w14:textId="5DE32626" w:rsidR="00832E89" w:rsidRDefault="00CA7833" w:rsidP="00CA7833">
      <w:pPr>
        <w:pStyle w:val="ListParagraph"/>
        <w:numPr>
          <w:ilvl w:val="0"/>
          <w:numId w:val="16"/>
        </w:numPr>
        <w:rPr>
          <w:b/>
          <w:color w:val="000000" w:themeColor="text1"/>
        </w:rPr>
      </w:pPr>
      <w:r>
        <w:t xml:space="preserve">Initial conditions are provided in Table I of Lawson et al., unless altered as described in figure legends. Not everything listed in Table I will be used in the simulations, and </w:t>
      </w:r>
      <w:r w:rsidRPr="00832E89">
        <w:rPr>
          <w:b/>
          <w:color w:val="000000" w:themeColor="text1"/>
        </w:rPr>
        <w:t>factors not explicitly listed have initial values of 0.</w:t>
      </w:r>
    </w:p>
    <w:p w14:paraId="6E3B56DE" w14:textId="38B5A9B3" w:rsidR="00417D31" w:rsidRPr="00417D31" w:rsidRDefault="00417D31" w:rsidP="00417D31">
      <w:pPr>
        <w:pStyle w:val="ListParagraph"/>
        <w:numPr>
          <w:ilvl w:val="0"/>
          <w:numId w:val="16"/>
        </w:numPr>
      </w:pPr>
      <w:r>
        <w:rPr>
          <w:b/>
        </w:rPr>
        <w:t xml:space="preserve">Make sure your units are </w:t>
      </w:r>
      <w:r w:rsidR="00736A6D">
        <w:rPr>
          <w:b/>
        </w:rPr>
        <w:t xml:space="preserve">appropriately </w:t>
      </w:r>
      <w:r>
        <w:rPr>
          <w:b/>
        </w:rPr>
        <w:t xml:space="preserve">matched. MATLAB will not know the difference between mM and </w:t>
      </w:r>
      <w:proofErr w:type="spellStart"/>
      <w:r>
        <w:rPr>
          <w:b/>
        </w:rPr>
        <w:t>μM</w:t>
      </w:r>
      <w:proofErr w:type="spellEnd"/>
      <w:r>
        <w:rPr>
          <w:b/>
        </w:rPr>
        <w:t>, so convert everything to M. See Lecture 2 Slide 17 for help.</w:t>
      </w:r>
    </w:p>
    <w:p w14:paraId="4744DCE9" w14:textId="77777777" w:rsidR="00832E89" w:rsidRPr="00832E89" w:rsidRDefault="00CA7833" w:rsidP="00CA7833">
      <w:pPr>
        <w:pStyle w:val="ListParagraph"/>
        <w:numPr>
          <w:ilvl w:val="0"/>
          <w:numId w:val="16"/>
        </w:numPr>
        <w:rPr>
          <w:b/>
          <w:color w:val="000000" w:themeColor="text1"/>
        </w:rPr>
      </w:pPr>
      <w:r>
        <w:t xml:space="preserve">Note that to remove an enzyme’s contribution to the cascade, we don’t just set the enzyme concentration to zero, </w:t>
      </w:r>
      <w:r w:rsidRPr="00832E89">
        <w:rPr>
          <w:b/>
        </w:rPr>
        <w:t>we set its rate constant equal to zero.</w:t>
      </w:r>
      <w:r>
        <w:t xml:space="preserve"> </w:t>
      </w:r>
    </w:p>
    <w:p w14:paraId="6462E732" w14:textId="5B976D01" w:rsidR="00832E89" w:rsidRPr="00832E89" w:rsidRDefault="00CA7833" w:rsidP="00CA7833">
      <w:pPr>
        <w:pStyle w:val="ListParagraph"/>
        <w:numPr>
          <w:ilvl w:val="0"/>
          <w:numId w:val="16"/>
        </w:numPr>
        <w:rPr>
          <w:b/>
          <w:color w:val="000000" w:themeColor="text1"/>
        </w:rPr>
      </w:pPr>
      <w:r>
        <w:t>Most figures plot Thrombin Formation as the dependent variable (y</w:t>
      </w:r>
      <w:r w:rsidR="00832E89">
        <w:t>-</w:t>
      </w:r>
      <w:r>
        <w:t xml:space="preserve">axis), however, if you read the figure captions and the methods section closely, you’ll see this is a combination of Thrombin and </w:t>
      </w:r>
      <w:proofErr w:type="spellStart"/>
      <w:r>
        <w:t>Meizothrombin</w:t>
      </w:r>
      <w:proofErr w:type="spellEnd"/>
      <w:r>
        <w:t xml:space="preserve"> where the relative contributions of each enzyme is given by its specific activity and normalized </w:t>
      </w:r>
      <w:r w:rsidRPr="00C6508E">
        <w:rPr>
          <w:b/>
        </w:rPr>
        <w:t xml:space="preserve">by the </w:t>
      </w:r>
      <w:r w:rsidR="00C6508E" w:rsidRPr="00C6508E">
        <w:rPr>
          <w:b/>
        </w:rPr>
        <w:t xml:space="preserve">expected </w:t>
      </w:r>
      <w:r w:rsidRPr="00C6508E">
        <w:rPr>
          <w:b/>
        </w:rPr>
        <w:t xml:space="preserve">concentration </w:t>
      </w:r>
      <w:r w:rsidR="00C6508E" w:rsidRPr="00C6508E">
        <w:rPr>
          <w:b/>
        </w:rPr>
        <w:t>of</w:t>
      </w:r>
      <w:r w:rsidRPr="00C6508E">
        <w:rPr>
          <w:b/>
        </w:rPr>
        <w:t xml:space="preserve"> “complete” formation</w:t>
      </w:r>
      <w:r w:rsidR="00C6508E">
        <w:rPr>
          <w:b/>
        </w:rPr>
        <w:t xml:space="preserve"> as expected from starting concentrations</w:t>
      </w:r>
      <w:r w:rsidRPr="00C6508E">
        <w:rPr>
          <w:b/>
        </w:rPr>
        <w:t>.</w:t>
      </w:r>
      <w:r>
        <w:t xml:space="preserve"> </w:t>
      </w:r>
      <w:r w:rsidRPr="00C6508E">
        <w:rPr>
          <w:b/>
          <w:color w:val="000000" w:themeColor="text1"/>
        </w:rPr>
        <w:t xml:space="preserve"> </w:t>
      </w:r>
    </w:p>
    <w:p w14:paraId="233FDDAC" w14:textId="53C717B7" w:rsidR="00CA7833" w:rsidRPr="00832E89" w:rsidRDefault="00CA7833" w:rsidP="00C6508E">
      <w:pPr>
        <w:pStyle w:val="ListParagraph"/>
        <w:ind w:left="720"/>
        <w:rPr>
          <w:b/>
          <w:color w:val="000000" w:themeColor="text1"/>
        </w:rPr>
      </w:pPr>
      <w:r>
        <w:t>Figure 1A, for example, the y</w:t>
      </w:r>
      <w:r w:rsidR="003E299C">
        <w:t>-</w:t>
      </w:r>
      <w:r>
        <w:t xml:space="preserve">axis </w:t>
      </w:r>
      <w:r w:rsidR="003E299C">
        <w:t>can be calculated as</w:t>
      </w:r>
      <w:r>
        <w:t>:</w:t>
      </w:r>
    </w:p>
    <w:p w14:paraId="1FEDBA56" w14:textId="2DFB3A33" w:rsidR="00CA7833" w:rsidRPr="007A104A" w:rsidRDefault="00832E89" w:rsidP="00CA7833">
      <w:r>
        <w:tab/>
      </w:r>
      <w:r w:rsidR="00CA7833">
        <w:t>% Thrombin Formation = (1.2</w:t>
      </w:r>
      <w:r w:rsidR="003E299C">
        <w:t xml:space="preserve"> * </w:t>
      </w:r>
      <w:r w:rsidR="00CA7833">
        <w:t>[</w:t>
      </w:r>
      <w:proofErr w:type="spellStart"/>
      <w:r w:rsidR="00CA7833">
        <w:t>mIIa</w:t>
      </w:r>
      <w:proofErr w:type="spellEnd"/>
      <w:r w:rsidR="00CA7833">
        <w:t>] + 1.0</w:t>
      </w:r>
      <w:r w:rsidR="003E299C">
        <w:t xml:space="preserve"> * </w:t>
      </w:r>
      <w:r w:rsidR="00CA7833">
        <w:t>[</w:t>
      </w:r>
      <w:proofErr w:type="spellStart"/>
      <w:r w:rsidR="00CA7833">
        <w:t>IIa</w:t>
      </w:r>
      <w:proofErr w:type="spellEnd"/>
      <w:r w:rsidR="00CA7833">
        <w:t>]) / (1</w:t>
      </w:r>
      <w:r w:rsidR="003E299C">
        <w:t xml:space="preserve">.4 × </w:t>
      </w:r>
      <w:r w:rsidR="00CA7833">
        <w:t>10</w:t>
      </w:r>
      <w:r w:rsidR="00CA7833" w:rsidRPr="003E299C">
        <w:rPr>
          <w:vertAlign w:val="superscript"/>
        </w:rPr>
        <w:t>-6</w:t>
      </w:r>
      <w:r w:rsidR="00CA7833">
        <w:t xml:space="preserve"> M) * 100</w:t>
      </w:r>
    </w:p>
    <w:sectPr w:rsidR="00CA7833" w:rsidRPr="007A104A" w:rsidSect="004D2AD1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F07C5" w14:textId="77777777" w:rsidR="00612CE2" w:rsidRDefault="00612CE2" w:rsidP="007345F3">
      <w:r>
        <w:separator/>
      </w:r>
    </w:p>
  </w:endnote>
  <w:endnote w:type="continuationSeparator" w:id="0">
    <w:p w14:paraId="3C3F5E13" w14:textId="77777777" w:rsidR="00612CE2" w:rsidRDefault="00612CE2" w:rsidP="00734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BDC08" w14:textId="77777777" w:rsidR="00E54D17" w:rsidRDefault="00E54D17" w:rsidP="007345F3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A07F2A" w14:textId="77777777" w:rsidR="00E54D17" w:rsidRDefault="00E54D17" w:rsidP="007345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214485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118D66D" w14:textId="1F5EE1DD" w:rsidR="004D2AD1" w:rsidRDefault="004D2AD1" w:rsidP="004D2AD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B5FEC" w14:textId="77777777" w:rsidR="00612CE2" w:rsidRDefault="00612CE2" w:rsidP="007345F3">
      <w:r>
        <w:separator/>
      </w:r>
    </w:p>
  </w:footnote>
  <w:footnote w:type="continuationSeparator" w:id="0">
    <w:p w14:paraId="1E995E8C" w14:textId="77777777" w:rsidR="00612CE2" w:rsidRDefault="00612CE2" w:rsidP="00734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403F" w14:textId="1AB41CB4" w:rsidR="00E54D17" w:rsidRDefault="007345F3" w:rsidP="004D2AD1">
    <w:pPr>
      <w:pStyle w:val="Header"/>
      <w:pBdr>
        <w:bottom w:val="single" w:sz="6" w:space="1" w:color="auto"/>
      </w:pBdr>
      <w:tabs>
        <w:tab w:val="clear" w:pos="4320"/>
        <w:tab w:val="clear" w:pos="8640"/>
        <w:tab w:val="center" w:pos="5040"/>
        <w:tab w:val="right" w:pos="10800"/>
      </w:tabs>
    </w:pPr>
    <w:r w:rsidRPr="007345F3">
      <w:t>BIEN101</w:t>
    </w:r>
    <w:r>
      <w:tab/>
    </w:r>
    <w:r w:rsidR="00DB6064">
      <w:t>Project</w:t>
    </w:r>
    <w:r>
      <w:t xml:space="preserve"> </w:t>
    </w:r>
    <w:r w:rsidR="00DB6064">
      <w:t>1</w:t>
    </w:r>
    <w:r>
      <w:tab/>
      <w:t xml:space="preserve">Due </w:t>
    </w:r>
    <w:r w:rsidR="0094497B">
      <w:t>October 29</w:t>
    </w:r>
    <w:proofErr w:type="gramStart"/>
    <w:r w:rsidR="0094497B">
      <w:t>th</w:t>
    </w:r>
    <w:r>
      <w:t>,</w:t>
    </w:r>
    <w:r w:rsidR="0094497B">
      <w:t>End</w:t>
    </w:r>
    <w:proofErr w:type="gramEnd"/>
    <w:r w:rsidR="0094497B">
      <w:t xml:space="preserve"> of Day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961"/>
    <w:multiLevelType w:val="hybridMultilevel"/>
    <w:tmpl w:val="C96A92F6"/>
    <w:lvl w:ilvl="0" w:tplc="D0FCEB7E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37A89"/>
    <w:multiLevelType w:val="hybridMultilevel"/>
    <w:tmpl w:val="4B00A8A8"/>
    <w:lvl w:ilvl="0" w:tplc="1220CAD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01AFD"/>
    <w:multiLevelType w:val="hybridMultilevel"/>
    <w:tmpl w:val="B4049E9A"/>
    <w:lvl w:ilvl="0" w:tplc="075A4C12">
      <w:start w:val="1"/>
      <w:numFmt w:val="upperLetter"/>
      <w:lvlText w:val="(%1)"/>
      <w:lvlJc w:val="left"/>
      <w:pPr>
        <w:ind w:left="432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B1E64"/>
    <w:multiLevelType w:val="hybridMultilevel"/>
    <w:tmpl w:val="5464FE8C"/>
    <w:lvl w:ilvl="0" w:tplc="1220CAD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3101C"/>
    <w:multiLevelType w:val="hybridMultilevel"/>
    <w:tmpl w:val="4A089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E1DAC"/>
    <w:multiLevelType w:val="hybridMultilevel"/>
    <w:tmpl w:val="937200DE"/>
    <w:lvl w:ilvl="0" w:tplc="E2DE1172">
      <w:start w:val="1"/>
      <w:numFmt w:val="upperLetter"/>
      <w:lvlText w:val="(%1)"/>
      <w:lvlJc w:val="left"/>
      <w:pPr>
        <w:ind w:left="4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74EE2"/>
    <w:multiLevelType w:val="hybridMultilevel"/>
    <w:tmpl w:val="F68C24E0"/>
    <w:lvl w:ilvl="0" w:tplc="D0FCEB7E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52133"/>
    <w:multiLevelType w:val="hybridMultilevel"/>
    <w:tmpl w:val="6770A806"/>
    <w:lvl w:ilvl="0" w:tplc="A6E40198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276DB"/>
    <w:multiLevelType w:val="hybridMultilevel"/>
    <w:tmpl w:val="A96C1D1A"/>
    <w:lvl w:ilvl="0" w:tplc="13D2DC12">
      <w:start w:val="1"/>
      <w:numFmt w:val="upperLetter"/>
      <w:lvlText w:val="(%1)"/>
      <w:lvlJc w:val="left"/>
      <w:pPr>
        <w:ind w:left="4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46993"/>
    <w:multiLevelType w:val="hybridMultilevel"/>
    <w:tmpl w:val="F72871D2"/>
    <w:lvl w:ilvl="0" w:tplc="1220CAD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D0C47"/>
    <w:multiLevelType w:val="hybridMultilevel"/>
    <w:tmpl w:val="4B36C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D66F6"/>
    <w:multiLevelType w:val="hybridMultilevel"/>
    <w:tmpl w:val="91C24454"/>
    <w:lvl w:ilvl="0" w:tplc="BB789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929D3"/>
    <w:multiLevelType w:val="hybridMultilevel"/>
    <w:tmpl w:val="90A6C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B513A"/>
    <w:multiLevelType w:val="hybridMultilevel"/>
    <w:tmpl w:val="1E089CE2"/>
    <w:lvl w:ilvl="0" w:tplc="6408FC3C">
      <w:start w:val="1"/>
      <w:numFmt w:val="upperLetter"/>
      <w:lvlText w:val="(%1)"/>
      <w:lvlJc w:val="left"/>
      <w:pPr>
        <w:ind w:left="728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B02FD"/>
    <w:multiLevelType w:val="hybridMultilevel"/>
    <w:tmpl w:val="5B40074A"/>
    <w:lvl w:ilvl="0" w:tplc="20C46794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66445"/>
    <w:multiLevelType w:val="hybridMultilevel"/>
    <w:tmpl w:val="AD2608C6"/>
    <w:lvl w:ilvl="0" w:tplc="D0FCEB7E">
      <w:start w:val="1"/>
      <w:numFmt w:val="upperLetter"/>
      <w:lvlText w:val="(%1)"/>
      <w:lvlJc w:val="left"/>
      <w:pPr>
        <w:ind w:left="740" w:hanging="38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10158A"/>
    <w:multiLevelType w:val="hybridMultilevel"/>
    <w:tmpl w:val="297AA43C"/>
    <w:lvl w:ilvl="0" w:tplc="D0FCEB7E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3"/>
  </w:num>
  <w:num w:numId="4">
    <w:abstractNumId w:val="14"/>
  </w:num>
  <w:num w:numId="5">
    <w:abstractNumId w:val="8"/>
  </w:num>
  <w:num w:numId="6">
    <w:abstractNumId w:val="16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  <w:num w:numId="11">
    <w:abstractNumId w:val="5"/>
  </w:num>
  <w:num w:numId="12">
    <w:abstractNumId w:val="2"/>
  </w:num>
  <w:num w:numId="13">
    <w:abstractNumId w:val="7"/>
  </w:num>
  <w:num w:numId="14">
    <w:abstractNumId w:val="6"/>
  </w:num>
  <w:num w:numId="15">
    <w:abstractNumId w:val="12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E4C"/>
    <w:rsid w:val="00032640"/>
    <w:rsid w:val="00057B0E"/>
    <w:rsid w:val="00067B02"/>
    <w:rsid w:val="0007593D"/>
    <w:rsid w:val="00086861"/>
    <w:rsid w:val="00094C37"/>
    <w:rsid w:val="000A0D4D"/>
    <w:rsid w:val="000F52BC"/>
    <w:rsid w:val="00133D72"/>
    <w:rsid w:val="00155847"/>
    <w:rsid w:val="00157115"/>
    <w:rsid w:val="00157EB2"/>
    <w:rsid w:val="00176F52"/>
    <w:rsid w:val="001A4DA6"/>
    <w:rsid w:val="001B169A"/>
    <w:rsid w:val="001B564C"/>
    <w:rsid w:val="001C7F73"/>
    <w:rsid w:val="001D2783"/>
    <w:rsid w:val="002101B6"/>
    <w:rsid w:val="002168E2"/>
    <w:rsid w:val="00223575"/>
    <w:rsid w:val="002616CD"/>
    <w:rsid w:val="0027457C"/>
    <w:rsid w:val="002A0970"/>
    <w:rsid w:val="002A7CB1"/>
    <w:rsid w:val="002B2C1D"/>
    <w:rsid w:val="002E1AD1"/>
    <w:rsid w:val="002E1DD6"/>
    <w:rsid w:val="002F3416"/>
    <w:rsid w:val="003019FC"/>
    <w:rsid w:val="00365B1C"/>
    <w:rsid w:val="00377CFC"/>
    <w:rsid w:val="0039747C"/>
    <w:rsid w:val="003978C0"/>
    <w:rsid w:val="003A3F03"/>
    <w:rsid w:val="003B58A2"/>
    <w:rsid w:val="003D2227"/>
    <w:rsid w:val="003E2528"/>
    <w:rsid w:val="003E299C"/>
    <w:rsid w:val="003E3E35"/>
    <w:rsid w:val="00417D31"/>
    <w:rsid w:val="004312A0"/>
    <w:rsid w:val="00433F15"/>
    <w:rsid w:val="00461C60"/>
    <w:rsid w:val="0048682F"/>
    <w:rsid w:val="004A22B3"/>
    <w:rsid w:val="004C2888"/>
    <w:rsid w:val="004D2AD1"/>
    <w:rsid w:val="004F3059"/>
    <w:rsid w:val="00517DC8"/>
    <w:rsid w:val="0052019C"/>
    <w:rsid w:val="0052327D"/>
    <w:rsid w:val="005434AF"/>
    <w:rsid w:val="00561055"/>
    <w:rsid w:val="00570A32"/>
    <w:rsid w:val="005A1869"/>
    <w:rsid w:val="005A6349"/>
    <w:rsid w:val="005B2B8F"/>
    <w:rsid w:val="005C5127"/>
    <w:rsid w:val="005E1F31"/>
    <w:rsid w:val="005F3A5C"/>
    <w:rsid w:val="00612CE2"/>
    <w:rsid w:val="0061565E"/>
    <w:rsid w:val="006239B0"/>
    <w:rsid w:val="006360DC"/>
    <w:rsid w:val="0066458F"/>
    <w:rsid w:val="006671DD"/>
    <w:rsid w:val="006706DA"/>
    <w:rsid w:val="00673327"/>
    <w:rsid w:val="006A2145"/>
    <w:rsid w:val="006A46E4"/>
    <w:rsid w:val="006F253C"/>
    <w:rsid w:val="00700D39"/>
    <w:rsid w:val="00714123"/>
    <w:rsid w:val="00720F96"/>
    <w:rsid w:val="007308D7"/>
    <w:rsid w:val="007345F3"/>
    <w:rsid w:val="00736A6D"/>
    <w:rsid w:val="007468E2"/>
    <w:rsid w:val="00785887"/>
    <w:rsid w:val="00787FE5"/>
    <w:rsid w:val="007917AF"/>
    <w:rsid w:val="007A093D"/>
    <w:rsid w:val="007A104A"/>
    <w:rsid w:val="007C0E96"/>
    <w:rsid w:val="007C6549"/>
    <w:rsid w:val="007D3069"/>
    <w:rsid w:val="00802ABC"/>
    <w:rsid w:val="00831D8A"/>
    <w:rsid w:val="00832E89"/>
    <w:rsid w:val="008359F1"/>
    <w:rsid w:val="0085525F"/>
    <w:rsid w:val="008571DC"/>
    <w:rsid w:val="00863799"/>
    <w:rsid w:val="008676DB"/>
    <w:rsid w:val="00883ED2"/>
    <w:rsid w:val="008C5840"/>
    <w:rsid w:val="00903150"/>
    <w:rsid w:val="0091217E"/>
    <w:rsid w:val="00924FCE"/>
    <w:rsid w:val="009369C2"/>
    <w:rsid w:val="00937C7C"/>
    <w:rsid w:val="0094497B"/>
    <w:rsid w:val="00987405"/>
    <w:rsid w:val="00991A59"/>
    <w:rsid w:val="009A620A"/>
    <w:rsid w:val="009B7195"/>
    <w:rsid w:val="009C69F9"/>
    <w:rsid w:val="009C742F"/>
    <w:rsid w:val="00AA550E"/>
    <w:rsid w:val="00AB6CB9"/>
    <w:rsid w:val="00AC0476"/>
    <w:rsid w:val="00AC62ED"/>
    <w:rsid w:val="00AD2578"/>
    <w:rsid w:val="00AE008D"/>
    <w:rsid w:val="00AE122E"/>
    <w:rsid w:val="00AE50F4"/>
    <w:rsid w:val="00B10446"/>
    <w:rsid w:val="00B36AC7"/>
    <w:rsid w:val="00B40E59"/>
    <w:rsid w:val="00B54886"/>
    <w:rsid w:val="00B5765F"/>
    <w:rsid w:val="00B771F5"/>
    <w:rsid w:val="00BC0574"/>
    <w:rsid w:val="00BD728A"/>
    <w:rsid w:val="00BE5227"/>
    <w:rsid w:val="00BF35BF"/>
    <w:rsid w:val="00C253C1"/>
    <w:rsid w:val="00C30236"/>
    <w:rsid w:val="00C4056C"/>
    <w:rsid w:val="00C43493"/>
    <w:rsid w:val="00C63C63"/>
    <w:rsid w:val="00C6508E"/>
    <w:rsid w:val="00CA7833"/>
    <w:rsid w:val="00CC08BD"/>
    <w:rsid w:val="00CE1538"/>
    <w:rsid w:val="00CE2E4C"/>
    <w:rsid w:val="00D12987"/>
    <w:rsid w:val="00D24089"/>
    <w:rsid w:val="00D33F60"/>
    <w:rsid w:val="00D57552"/>
    <w:rsid w:val="00D60007"/>
    <w:rsid w:val="00D61AD4"/>
    <w:rsid w:val="00D71ED6"/>
    <w:rsid w:val="00D87A1A"/>
    <w:rsid w:val="00DB6064"/>
    <w:rsid w:val="00DB6717"/>
    <w:rsid w:val="00DC1A51"/>
    <w:rsid w:val="00DC2671"/>
    <w:rsid w:val="00DD0602"/>
    <w:rsid w:val="00DD5AA6"/>
    <w:rsid w:val="00DE20A5"/>
    <w:rsid w:val="00DE262C"/>
    <w:rsid w:val="00DF6C94"/>
    <w:rsid w:val="00E03BDF"/>
    <w:rsid w:val="00E26558"/>
    <w:rsid w:val="00E54D17"/>
    <w:rsid w:val="00E55DC5"/>
    <w:rsid w:val="00E628FF"/>
    <w:rsid w:val="00E86F7E"/>
    <w:rsid w:val="00E9125B"/>
    <w:rsid w:val="00EA7538"/>
    <w:rsid w:val="00EA7B6A"/>
    <w:rsid w:val="00EB2126"/>
    <w:rsid w:val="00EC4896"/>
    <w:rsid w:val="00ED530E"/>
    <w:rsid w:val="00EE29E0"/>
    <w:rsid w:val="00EE30D7"/>
    <w:rsid w:val="00F045BA"/>
    <w:rsid w:val="00F06FAE"/>
    <w:rsid w:val="00F23505"/>
    <w:rsid w:val="00F576D5"/>
    <w:rsid w:val="00F61D61"/>
    <w:rsid w:val="00F951DC"/>
    <w:rsid w:val="00FA0DDD"/>
    <w:rsid w:val="00FA44D0"/>
    <w:rsid w:val="00FB34AA"/>
    <w:rsid w:val="00FC1445"/>
    <w:rsid w:val="00FD306D"/>
    <w:rsid w:val="00FD3959"/>
    <w:rsid w:val="00FE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2A59EA"/>
  <w14:defaultImageDpi w14:val="300"/>
  <w15:docId w15:val="{7FEE1371-52C9-4417-8BF4-86631A5C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5F3"/>
    <w:pPr>
      <w:spacing w:after="120"/>
    </w:pPr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671"/>
  </w:style>
  <w:style w:type="paragraph" w:styleId="BalloonText">
    <w:name w:val="Balloon Text"/>
    <w:basedOn w:val="Normal"/>
    <w:link w:val="BalloonTextChar"/>
    <w:uiPriority w:val="99"/>
    <w:semiHidden/>
    <w:unhideWhenUsed/>
    <w:rsid w:val="00517D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DC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51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127"/>
  </w:style>
  <w:style w:type="paragraph" w:styleId="Footer">
    <w:name w:val="footer"/>
    <w:basedOn w:val="Normal"/>
    <w:link w:val="FooterChar"/>
    <w:uiPriority w:val="99"/>
    <w:unhideWhenUsed/>
    <w:rsid w:val="005C51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127"/>
  </w:style>
  <w:style w:type="character" w:styleId="PageNumber">
    <w:name w:val="page number"/>
    <w:basedOn w:val="DefaultParagraphFont"/>
    <w:uiPriority w:val="99"/>
    <w:semiHidden/>
    <w:unhideWhenUsed/>
    <w:rsid w:val="005C5127"/>
  </w:style>
  <w:style w:type="character" w:styleId="PlaceholderText">
    <w:name w:val="Placeholder Text"/>
    <w:basedOn w:val="DefaultParagraphFont"/>
    <w:uiPriority w:val="99"/>
    <w:semiHidden/>
    <w:rsid w:val="00AC047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5D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DC5"/>
    <w:rPr>
      <w:color w:val="605E5C"/>
      <w:shd w:val="clear" w:color="auto" w:fill="E1DFDD"/>
    </w:rPr>
  </w:style>
  <w:style w:type="paragraph" w:customStyle="1" w:styleId="Sequence">
    <w:name w:val="Sequence"/>
    <w:basedOn w:val="Normal"/>
    <w:link w:val="SequenceChar"/>
    <w:qFormat/>
    <w:rsid w:val="00F61D61"/>
    <w:pPr>
      <w:ind w:left="576" w:right="576"/>
    </w:pPr>
    <w:rPr>
      <w:rFonts w:ascii="Courier New" w:hAnsi="Courier New" w:cs="Courier New"/>
      <w:sz w:val="20"/>
    </w:rPr>
  </w:style>
  <w:style w:type="character" w:customStyle="1" w:styleId="SequenceChar">
    <w:name w:val="Sequence Char"/>
    <w:basedOn w:val="DefaultParagraphFont"/>
    <w:link w:val="Sequence"/>
    <w:rsid w:val="00F61D61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257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15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link w:val="TableChar"/>
    <w:qFormat/>
    <w:rsid w:val="001D2783"/>
    <w:pPr>
      <w:spacing w:after="0"/>
    </w:pPr>
  </w:style>
  <w:style w:type="character" w:customStyle="1" w:styleId="TableChar">
    <w:name w:val="Table Char"/>
    <w:basedOn w:val="DefaultParagraphFont"/>
    <w:link w:val="Table"/>
    <w:rsid w:val="001D2783"/>
    <w:rPr>
      <w:rFonts w:ascii="Arial" w:hAnsi="Arial" w:cs="Arial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33F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16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A65AD-0686-409E-A1FF-7BF9D06B3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 Editor</dc:creator>
  <cp:keywords/>
  <dc:description/>
  <cp:lastModifiedBy>Robert Alexander McKee</cp:lastModifiedBy>
  <cp:revision>2</cp:revision>
  <dcterms:created xsi:type="dcterms:W3CDTF">2021-10-20T02:51:00Z</dcterms:created>
  <dcterms:modified xsi:type="dcterms:W3CDTF">2021-10-20T02:51:00Z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472747</vt:lpwstr>
  </property>
  <property fmtid="{D5CDD505-2E9C-101B-9397-08002B2CF9AE}" pid="3" name="ProjectId">
    <vt:lpwstr>-1</vt:lpwstr>
  </property>
  <property fmtid="{D5CDD505-2E9C-101B-9397-08002B2CF9AE}" pid="4" name="InsertAsFootnote">
    <vt:lpwstr>False</vt:lpwstr>
  </property>
  <property fmtid="{D5CDD505-2E9C-101B-9397-08002B2CF9AE}" pid="5" name="StyleId">
    <vt:lpwstr>http://www.zotero.org/styles/vancouver</vt:lpwstr>
  </property>
</Properties>
</file>