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2c7e2a54c48f0" /><Relationship Type="http://schemas.openxmlformats.org/package/2006/relationships/metadata/core-properties" Target="/docProps/core.xml" Id="Rf7d8ab74235e41a7" /><Relationship Type="http://schemas.openxmlformats.org/officeDocument/2006/relationships/extended-properties" Target="/docProps/app.xml" Id="Raf18dc2293c740ff" /><Relationship Type="http://schemas.openxmlformats.org/officeDocument/2006/relationships/custom-properties" Target="/docProps/custom.xml" Id="R4f254e7e88fe45a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body>
    <w:tbl>
      <w:tblPr>
        <w:tblW w:type="pct" w:w="5000"/>
      </w:tblPr>
      <w:tr>
        <w:trPr/>
        <w:tc>
          <w:tcPr>
            <w:tcW w:type="pct" w:w="5000"/>
            <w:gridSpan w:val="2"/>
          </w:tcPr>
          <w:p>
            <w:pPr>
              <w:jc w:val="center"/>
              <w:spacing w:before="0" w:after="30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32"/>
                <w:szCs w:val="32"/>
              </w:rPr>
              <w:t>DUY (JIMMY) NGUYEN VO</w:t>
            </w:r>
          </w:p>
        </w:tc>
      </w:tr>
      <w:tr>
        <w:trPr/>
        <w:tc>
          <w:tcPr>
            <w:tcW w:type="pct" w:w="5000"/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1" name="drawingObject1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0ffe04baf36e40cf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819 Dufferin Ave, Winnipeg</w:t>
                  </w:r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3" name="drawingObject3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df3d0c48ba7b4a67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+1 (204) 599 1138</w:t>
                  </w:r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5" name="drawingObject5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85f473c212f84f7e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jimmy.vo.2410@gmail.com</w:t>
                  </w:r>
                </w:p>
              </w:tc>
            </w:tr>
            <w:tr>
              <w:trPr/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7" name="drawingObject7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f21bfccfb431401d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hyperlink r:id="R162610f399fc478b">
                    <w:r>
                      <w:rPr>
                        <w:color w:val="000000"/>
                        <w:rFonts w:ascii="Calibri (Body)" w:hAnsi="Calibri (Body)" w:cs="Calibri (Body)" w:eastAsia="Calibri (Body)"/>
                        <w:sz w:val="22"/>
                        <w:szCs w:val="22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9" name="drawingObject9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b00f1966f381436c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hyperlink r:id="R15723cfdbc7848c4">
                    <w:r>
                      <w:rPr>
                        <w:color w:val="000000"/>
                        <w:rFonts w:ascii="Calibri (Body)" w:hAnsi="Calibri (Body)" w:cs="Calibri (Body)" w:eastAsia="Calibri (Body)"/>
                        <w:sz w:val="22"/>
                        <w:szCs w:val="22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11" name="drawingObject11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19f99958a7474a91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hyperlink r:id="R0aa29dcd2d4649ed">
                    <w:r>
                      <w:rPr>
                        <w:color w:val="000000"/>
                        <w:rFonts w:ascii="Calibri (Body)" w:hAnsi="Calibri (Body)" w:cs="Calibri (Body)" w:eastAsia="Calibri (Body)"/>
                        <w:sz w:val="22"/>
                        <w:szCs w:val="22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SUMMARY</w:t>
            </w:r>
          </w:p>
        </w:tc>
      </w:tr>
      <w:tr>
        <w:trPr/>
        <w:tc>
          <w:tcPr>
            <w:tcW w:type="pct" w:w="5000"/>
            <w:gridSpan w:val="2"/>
          </w:tcPr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 Red River College(RRC) student with all As (GPA: 4.23)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 flexible, fast learner, and a supportive leader with the ability to categorize and automate software development process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Wide knowledge in various areas such as embedded systems, mobile platforms, database, web and application development with one-year experience as an automotive software engineer in a global company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Strong analytical, problem solving, decision making, organizational, time management and multi-tasking skills under high pressure (4 projects at the same time)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Strong interpersonal and communication skills achieved from multi-cultural workplace (Chinese and German)</w:t>
            </w:r>
          </w:p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SKILLS</w:t>
            </w:r>
          </w:p>
        </w:tc>
      </w:tr>
      <w:tr>
        <w:trPr/>
        <w:tc>
          <w:tcPr>
            <w:tcW w:type="auto" w:w="0"/>
          </w:tcPr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Java, XML and UI design (Android Studio)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Deployed the applications to Google Play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Analyzed, designed, and developed complex code bases, software systems, including API design techniques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HTML, CSS, JavaScript, 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React, ThreeJS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Web services and HTTP protocol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Service worker, Web application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XML, JSON, Oracle SQL, PhpMyAdmin, XAMPP, ZWAMP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C#, VBA, XML and UI design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.NET application development (Visio Studio)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Game Development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Hands on experience with C# script in Unity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3D objects and common components such as physics and animations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Financial Accounting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Understand business activities and financial accounting principles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Hands on experience with Sage50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auto" w:w="0"/>
          </w:tcPr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Model base, manual code, code generation for all standard tools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Module test, integration test, regression test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CANoe, IAR, CppUTest, Tessy, Rhapsody, IBM DOORS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Basic Software: Diag Stack (DEH, IsoTP); System Stack (SysStateM, BleM, ucDrv, Gpt); Memory Stack (NvM); Io Stack (AdcDrv, DioDrv, SpiDrv, TauDrv)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Kalman filter (KF, EKF), Gradient descent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Computer vision (OpenCV)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Protocol: UART, SPI, I2C, GPIO, SDIO, CAN, LIN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C/C++ and assembly (Keil, IAR)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MATLAB m-script, model base and C-file generation for embedded applications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Embedded Hardware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Designed 2-layer PCB layout and schematic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Proficiency in the use of soldering and measurement equipment such as oscilloscopes and logic analyzer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WORKS AND RELATED EXPERIENCES</w:t>
            </w:r>
          </w:p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January 2018 - Currently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Assisted students with programming skills (Web Development 1, Programming 2)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Identified and filled out the students’ learning needs by reasoning and visualization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Technology Camps Instructor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May 1, 2018 - May 3,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Explained the technologies used in Web Development, Database. Networking and Web Security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Led the discussion about ethical hacking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Instructed the children to build up a simple website with database integrated, to find security holes and to enhance the site security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May 2016 – July 2017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HELLA, Ho Chi Minh city, Vietnam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Offered a promotion and invited by Chinese engineers to be a team leader on Radio Frequency Receiver technology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Discussed with Chinese system engineers on the intermediate sleep/wakeup error that happened on some defective cars; convinced them to deal with the customer to accept my temporary solution to a bad hardware design existing from the first phase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Supported a German system engineer to debug remotely on the NFC prototype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Guided my team members remotely on the first demonstration of NFC in Germany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EDUCATION</w:t>
            </w:r>
          </w:p>
        </w:tc>
      </w:tr>
      <w:tr>
        <w:trPr/>
        <w:tc>
          <w:tcPr>
            <w:tcW w:type="pct" w:w="5000"/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August 2017 - Current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Application Development, Database management, Web Development, Technology in Business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Electrical Engineering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August 2010 - March 2014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HCM University Of Technology, HCM, Vietnam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Electrical, Tele-communication Embedded System Software and Hardware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AWARDS AND HONOURS</w:t>
            </w:r>
          </w:p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7,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Applied Computer Education Department,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Criteria include a letter of recommendation from an 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7,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Great-West Life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February 16,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Red River College 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December 15,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Applied Computer Education Department,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First-term GPA: 4.45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VOLUNTEER ACTIVITIES</w:t>
            </w:r>
          </w:p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March 2018 - Current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Assisting the instructor in the course Network Computing 1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Indicated the issues, helped students with troubleshooting and explained network behaviors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Helped students with Cisco Lab exercises in Open Lab periods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Sessions helper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5, 2018 - June 6,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Prairie Developer Conference,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Answered questions at the welcome booth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Ensured the machines worked properly during the presentations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May 24,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The Campus tour, 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day tour where international and ESL students come to see the college's facilities and the college lives.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Invited to come and discuss about the courses and the difficulties of international students at RRC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Gave advise to ESL students about what they could do to prepare for the courses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Session Helper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April 12,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DigiGirlz Day 2018, Microsoft,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great event hosted by Microsoft that RRC have had the fun and privilege to assist with for several years.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Robot Cars: Working with Adafruit Circuit Playground and some common household items, get an introduction to programming and electronics.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Cognitive Thinking: Assist students through a series on non-technical activities to illustrate how they use critical and creative thinking.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January 2018 – February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Canadian Inventory Project, ACE Project Space,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 Android project sponsored by RRC to improve an inventory system in Canadian stores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Led the team on the software architecture and kept the software clean and maintainable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Trained the team members on Android development and new technologies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Workshop Assistant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March 2018 - April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Unity Workshops, New Media Manitoba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Series of workshops held by Dylan Fries biweekly to introduce Unity developers’ skill sets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Set up training materials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February 20,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RRC Open house 2018,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 event held by RRC to provide RRC’s program tour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Prepared LEGO Mindstorms demonstration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Represented RRC’s students to answer CTV interview questions about LEGO Mindstorms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Led the Coding-And-Networks-Games room, introducing high school students to basic concepts of programming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February 1,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DisruptED 2018,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Hosted an unconference on how to bridge the digital divides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Took notes in the unconference and reported to the event coordinator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the trial version of Document .Net 3.3.3.27!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aaa3552cbc36418f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720" w:footer="0" w:gutter="0" w:header="0" w:left="720" w:right="720" w:top="720"/>
      <w:cols w:equalWidth="1" w:num="1" w:space="708" w:sep="0"/>
      <w:footerReference w:type="default" r:id="R12a3a96e7fdc41e1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p>
    <w:pPr>
      <w:jc w:val="center"/>
    </w:pPr>
    <w:r>
      <w:rPr>
        <w:rFonts w:ascii="Arial" w:hAnsi="Arial" w:cs="Arial" w:eastAsia="Arial"/>
        <w:sz w:val="24"/>
        <w:szCs w:val="24"/>
      </w:rPr>
      <w:t xml:space="preserve">Page </w:t>
    </w:r>
    <w:r>
      <w:rPr>
        <w:rFonts w:ascii="Arial" w:hAnsi="Arial" w:cs="Arial" w:eastAsia="Arial"/>
        <w:sz w:val="24"/>
        <w:szCs w:val="24"/>
      </w:rPr>
      <w:fldChar w:fldCharType="begin"/>
    </w:r>
    <w:r>
      <w:rPr>
        <w:rFonts w:ascii="Arial" w:hAnsi="Arial" w:cs="Arial" w:eastAsia="Arial"/>
        <w:sz w:val="24"/>
        <w:szCs w:val="24"/>
      </w:rPr>
      <w:instrText xml:space="preserve"> PAGE</w:instrText>
    </w:r>
    <w:r>
      <w:rPr>
        <w:rFonts w:ascii="Arial" w:hAnsi="Arial" w:cs="Arial" w:eastAsia="Arial"/>
        <w:sz w:val="24"/>
        <w:szCs w:val="24"/>
      </w:rPr>
      <w:fldChar w:fldCharType="end"/>
    </w:r>
    <w:r>
      <w:rPr>
        <w:rFonts w:ascii="Arial" w:hAnsi="Arial" w:cs="Arial" w:eastAsia="Arial"/>
        <w:sz w:val="24"/>
        <w:szCs w:val="24"/>
      </w:rPr>
      <w:t xml:space="preserve"> of </w:t>
    </w:r>
    <w:r>
      <w:rPr>
        <w:rFonts w:ascii="Arial" w:hAnsi="Arial" w:cs="Arial" w:eastAsia="Arial"/>
        <w:sz w:val="24"/>
        <w:szCs w:val="24"/>
      </w:rPr>
      <w:fldChar w:fldCharType="begin"/>
    </w:r>
    <w:r>
      <w:rPr>
        <w:rFonts w:ascii="Arial" w:hAnsi="Arial" w:cs="Arial" w:eastAsia="Arial"/>
        <w:sz w:val="24"/>
        <w:szCs w:val="24"/>
      </w:rPr>
      <w:instrText xml:space="preserve"> NUMPAGES</w:instrText>
    </w:r>
    <w:r>
      <w:rPr>
        <w:rFonts w:ascii="Arial" w:hAnsi="Arial" w:cs="Arial" w:eastAsia="Arial"/>
        <w:sz w:val="24"/>
        <w:szCs w:val="24"/>
      </w:rPr>
      <w:fldChar w:fldCharType="end"/>
    </w:r>
  </w:p>
</w:ft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Simple Numbers"/>
    <w:multiLevelType w:val="hybridMultilevel"/>
    <w:name w:val="Simple Numbers"/>
    <w:lvl w:ilvl="0">
      <w:numFmt w:val="bullet"/>
      <w:start w:val="1"/>
      <w:lvlText w:val=""/>
      <w:lvlRestart w:val="0"/>
      <w:suff w:val="tab"/>
      <w:lvlJc w:val="left"/>
      <w:pPr>
        <w:ind w:hanging="360" w:left="720"/>
      </w:pPr>
      <w:rPr>
        <w:rFonts w:ascii="Symbol" w:hAnsi="Symbol" w:cs="Symbol" w:eastAsia="Symbol"/>
      </w:rPr>
    </w:lvl>
    <w:lvl w:ilvl="1">
      <w:numFmt w:val="bullet"/>
      <w:start w:val="1"/>
      <w:lvlText w:val="o"/>
      <w:lvlRestart w:val="0"/>
      <w:suff w:val="tab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numFmt w:val="bullet"/>
      <w:start w:val="1"/>
      <w:lvlText w:val=""/>
      <w:lvlRestart w:val="0"/>
      <w:suff w:val="tab"/>
      <w:lvlJc w:val="left"/>
      <w:pPr>
        <w:ind w:hanging="360" w:left="2160"/>
      </w:pPr>
      <w:rPr>
        <w:rFonts w:ascii="Wingdings" w:hAnsi="Wingdings" w:cs="Wingdings" w:eastAsia="Wingdings"/>
      </w:rPr>
    </w:lvl>
    <w:lvl w:ilvl="3">
      <w:numFmt w:val="bullet"/>
      <w:start w:val="1"/>
      <w:lvlText w:val=""/>
      <w:lvlRestart w:val="0"/>
      <w:suff w:val="tab"/>
      <w:lvlJc w:val="left"/>
      <w:pPr>
        <w:ind w:hanging="360" w:left="2880"/>
      </w:pPr>
      <w:rPr>
        <w:rFonts w:ascii="Symbol" w:hAnsi="Symbol" w:cs="Symbol" w:eastAsia="Symbol"/>
      </w:rPr>
    </w:lvl>
    <w:lvl w:ilvl="4">
      <w:numFmt w:val="bullet"/>
      <w:start w:val="1"/>
      <w:lvlText w:val="o"/>
      <w:lvlRestart w:val="0"/>
      <w:suff w:val="tab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numFmt w:val="bullet"/>
      <w:start w:val="1"/>
      <w:lvlText w:val=""/>
      <w:lvlRestart w:val="0"/>
      <w:suff w:val="tab"/>
      <w:lvlJc w:val="left"/>
      <w:pPr>
        <w:ind w:hanging="360" w:left="4320"/>
      </w:pPr>
      <w:rPr>
        <w:rFonts w:ascii="Wingdings" w:hAnsi="Wingdings" w:cs="Wingdings" w:eastAsia="Wingdings"/>
      </w:rPr>
    </w:lvl>
    <w:lvl w:ilvl="6">
      <w:numFmt w:val="bullet"/>
      <w:start w:val="1"/>
      <w:lvlText w:val=""/>
      <w:lvlRestart w:val="0"/>
      <w:suff w:val="tab"/>
      <w:lvlJc w:val="left"/>
      <w:pPr>
        <w:ind w:hanging="360" w:left="5040"/>
      </w:pPr>
      <w:rPr>
        <w:rFonts w:ascii="Symbol" w:hAnsi="Symbol" w:cs="Symbol" w:eastAsia="Symbol"/>
      </w:rPr>
    </w:lvl>
    <w:lvl w:ilvl="7">
      <w:numFmt w:val="bullet"/>
      <w:start w:val="1"/>
      <w:lvlText w:val="o"/>
      <w:lvlRestart w:val="0"/>
      <w:suff w:val="tab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numFmt w:val="bullet"/>
      <w:start w:val="1"/>
      <w:lvlText w:val=""/>
      <w:lvlRestart w:val="0"/>
      <w:suff w:val="tab"/>
      <w:lvlJc w:val="left"/>
      <w:pPr>
        <w:ind w:hanging="360" w:left="648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val="14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  <w:style w:type="numbering" w:styleId="Simple Numbers">
    <w:name w:val="Simple Numbers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qtpd5fwh.jpeg" Id="R0ffe04baf36e40cf" /><Relationship Type="http://schemas.openxmlformats.org/officeDocument/2006/relationships/image" Target="media/hxddev04.jpeg" Id="Rdf3d0c48ba7b4a67" /><Relationship Type="http://schemas.openxmlformats.org/officeDocument/2006/relationships/image" Target="media/viem1v5e.jpeg" Id="R85f473c212f84f7e" /><Relationship Type="http://schemas.openxmlformats.org/officeDocument/2006/relationships/image" Target="media/kzqasj3e.jpeg" Id="Rf21bfccfb431401d" /><Relationship Type="http://schemas.openxmlformats.org/officeDocument/2006/relationships/hyperlink" Target="https://jimmyvo2410.github.io/resume.html" TargetMode="External" Id="R162610f399fc478b" /><Relationship Type="http://schemas.openxmlformats.org/officeDocument/2006/relationships/image" Target="media/m1qyrvtm.jpeg" Id="Rb00f1966f381436c" /><Relationship Type="http://schemas.openxmlformats.org/officeDocument/2006/relationships/hyperlink" Target="https://www.linkedin.com/in/jimmyvo2410/" TargetMode="External" Id="R15723cfdbc7848c4" /><Relationship Type="http://schemas.openxmlformats.org/officeDocument/2006/relationships/image" Target="media/i2m0pipi.jpeg" Id="R19f99958a7474a91" /><Relationship Type="http://schemas.openxmlformats.org/officeDocument/2006/relationships/hyperlink" Target="https://github.com/jimmyvo2410" TargetMode="External" Id="R0aa29dcd2d4649ed" /><Relationship Type="http://schemas.openxmlformats.org/officeDocument/2006/relationships/hyperlink" Target="https://www.sautinsoft.com/products/document/order.php" TargetMode="External" Id="Raaa3552cbc36418f" /><Relationship Type="http://schemas.openxmlformats.org/officeDocument/2006/relationships/footer" Target="footer1.xml" Id="R12a3a96e7fdc41e1" /><Relationship Type="http://schemas.openxmlformats.org/officeDocument/2006/relationships/styles" Target="styles.xml" Id="Rfe9136dcc01747d4" /><Relationship Type="http://schemas.openxmlformats.org/officeDocument/2006/relationships/numbering" Target="/word/numbering.xml" Id="R90c864071bd5421f" /><Relationship Type="http://schemas.openxmlformats.org/officeDocument/2006/relationships/settings" Target="settings.xml" Id="R36106059d6fc411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v.3.3.3.27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