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jc w:val="center"/>
      </w:pPr>
      <w:r>
        <w:rPr>
          <w:rFonts w:ascii="Arial" w:cs="Arial" w:eastAsia="Arial" w:hAnsi="Arial"/>
          <w:color w:val="999999"/>
          <w:sz w:val="22"/>
          <w:szCs w:val="22"/>
        </w:rPr>
        <w:t xml:space="preserve">PEPTIDE RESEARCH BRIEF</w:t>
      </w:r>
    </w:p>
    <w:p>
      <w:pPr>
        <w:jc w:val="center"/>
      </w:pPr>
      <w:r>
        <w:rPr>
          <w:rFonts w:ascii="Arial" w:cs="Arial" w:eastAsia="Arial" w:hAnsi="Arial"/>
          <w:b/>
          <w:bCs/>
          <w:color w:val="CC0000"/>
          <w:sz w:val="64"/>
          <w:szCs w:val="64"/>
        </w:rPr>
        <w:t xml:space="preserve">Gen10</w:t>
      </w:r>
    </w:p>
    <w:p>
      <w:pPr>
        <w:jc w:val="center"/>
      </w:pPr>
      <w:r>
        <w:rPr>
          <w:rFonts w:ascii="Arial" w:cs="Arial" w:eastAsia="Arial" w:hAnsi="Arial"/>
          <w:color w:val="555555"/>
          <w:sz w:val="22"/>
          <w:szCs w:val="22"/>
        </w:rPr>
        <w:t xml:space="preserve">Growth Peptide Complex | 10 Vial Research Kit</w:t>
      </w:r>
    </w:p>
    <w:p/>
    <w:p>
      <w:pPr>
        <w:jc w:val="center"/>
      </w:pPr>
      <w:r>
        <w:rPr>
          <w:rFonts w:ascii="Arial" w:cs="Arial" w:eastAsia="Arial" w:hAnsi="Arial"/>
          <w:color w:val="333333"/>
          <w:sz w:val="24"/>
          <w:szCs w:val="24"/>
        </w:rPr>
        <w:t xml:space="preserve">Description, Benefits, Dosage &amp; Research Overview</w:t>
      </w:r>
    </w:p>
    <w:p/>
    <w:p>
      <w:pPr>
        <w:jc w:val="center"/>
      </w:pPr>
      <w:r>
        <w:rPr>
          <w:rFonts w:ascii="Arial" w:cs="Arial" w:eastAsia="Arial" w:hAnsi="Arial"/>
          <w:b/>
          <w:bCs/>
          <w:color w:val="CC0000"/>
          <w:sz w:val="26"/>
          <w:szCs w:val="26"/>
        </w:rPr>
        <w:t xml:space="preserve">Iron Cell Research</w:t>
      </w:r>
    </w:p>
    <w:p>
      <w:pPr>
        <w:jc w:val="center"/>
      </w:pPr>
      <w:r>
        <w:rPr>
          <w:rFonts w:ascii="Arial" w:cs="Arial" w:eastAsia="Arial" w:hAnsi="Arial"/>
          <w:color w:val="333333"/>
          <w:sz w:val="22"/>
          <w:szCs w:val="22"/>
        </w:rPr>
        <w:t xml:space="preserve">IronCellResearch.com</w:t>
      </w:r>
    </w:p>
    <w:p>
      <w:pPr>
        <w:jc w:val="center"/>
      </w:pPr>
      <w:r>
        <w:rPr>
          <w:rFonts w:ascii="Arial" w:cs="Arial" w:eastAsia="Arial" w:hAnsi="Arial"/>
          <w:color w:val="999999"/>
          <w:sz w:val="22"/>
          <w:szCs w:val="22"/>
        </w:rPr>
        <w:t xml:space="preserve">For Research Use Only</w:t>
      </w:r>
    </w:p>
    <w:p/>
    <w:p>
      <w:pPr>
        <w:spacing w:after="120" w:before="240"/>
      </w:pPr>
      <w:r>
        <w:rPr>
          <w:rFonts w:ascii="Arial" w:cs="Arial" w:eastAsia="Arial" w:hAnsi="Arial"/>
          <w:b/>
          <w:bCs/>
          <w:color w:val="CC0000"/>
          <w:sz w:val="32"/>
          <w:szCs w:val="32"/>
        </w:rPr>
        <w:t xml:space="preserve">Overview</w:t>
      </w:r>
    </w:p>
    <w:p>
      <w:pPr>
        <w:spacing w:after="120"/>
      </w:pPr>
      <w:r>
        <w:rPr>
          <w:rFonts w:ascii="Arial" w:cs="Arial" w:eastAsia="Arial" w:hAnsi="Arial"/>
          <w:color w:val="222222"/>
          <w:sz w:val="22"/>
          <w:szCs w:val="22"/>
        </w:rPr>
        <w:t xml:space="preserve">Gen10 is a naturally occurring peptide hormone that plays an important role in growth, metabolism, and cellular function. Due to its biological significance, Gen10 has been widely studied in scientific and laboratory settings to better understand its role in various physiological processes. It is supplied as a lyophilized powder in individual vials, packaged as a 10-vial research kit.</w:t>
      </w:r>
    </w:p>
    <w:p>
      <w:pPr>
        <w:spacing w:after="120" w:before="240"/>
      </w:pPr>
      <w:r>
        <w:rPr>
          <w:rFonts w:ascii="Arial" w:cs="Arial" w:eastAsia="Arial" w:hAnsi="Arial"/>
          <w:b/>
          <w:bCs/>
          <w:color w:val="CC0000"/>
          <w:sz w:val="32"/>
          <w:szCs w:val="32"/>
        </w:rPr>
        <w:t xml:space="preserve">Mechanism of Action</w:t>
      </w:r>
    </w:p>
    <w:p>
      <w:pPr>
        <w:spacing w:after="120"/>
      </w:pPr>
      <w:r>
        <w:rPr>
          <w:rFonts w:ascii="Arial" w:cs="Arial" w:eastAsia="Arial" w:hAnsi="Arial"/>
          <w:color w:val="222222"/>
          <w:sz w:val="22"/>
          <w:szCs w:val="22"/>
        </w:rPr>
        <w:t xml:space="preserve">Gen10 is investigated in research models for its role in the regulation of growth and metabolic pathways. It has been studied for its influence on cellular proliferation, protein synthesis, and lipid and carbohydrate metabolism. Research literature also explores its role in tissue signaling and organ development in preclinical systems.</w:t>
      </w:r>
    </w:p>
    <w:p>
      <w:pPr>
        <w:spacing w:after="120" w:before="240"/>
      </w:pPr>
      <w:r>
        <w:rPr>
          <w:rFonts w:ascii="Arial" w:cs="Arial" w:eastAsia="Arial" w:hAnsi="Arial"/>
          <w:b/>
          <w:bCs/>
          <w:color w:val="CC0000"/>
          <w:sz w:val="32"/>
          <w:szCs w:val="32"/>
        </w:rPr>
        <w:t xml:space="preserve">Research Applications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Cellular growth and proliferation studies in preclinical models.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Metabolic pathway research (protein, lipid, and carbohydrate).</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Body composition and lean tissue research in animal models.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Sleep architecture and recovery research.</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Aging biology, cell repair, and connective-tissue research.</w:t>
      </w:r>
    </w:p>
    <w:p>
      <w:pPr>
        <w:spacing w:after="120" w:before="240"/>
      </w:pPr>
      <w:r>
        <w:rPr>
          <w:rFonts w:ascii="Arial" w:cs="Arial" w:eastAsia="Arial" w:hAnsi="Arial"/>
          <w:b/>
          <w:bCs/>
          <w:color w:val="CC0000"/>
          <w:sz w:val="32"/>
          <w:szCs w:val="32"/>
        </w:rPr>
        <w:t xml:space="preserve">Typical Research Dosing</w:t>
      </w:r>
    </w:p>
    <w:p>
      <w:pPr>
        <w:spacing w:after="120"/>
      </w:pPr>
      <w:r>
        <w:rPr>
          <w:rFonts w:ascii="Arial" w:cs="Arial" w:eastAsia="Arial" w:hAnsi="Arial"/>
          <w:color w:val="222222"/>
          <w:sz w:val="22"/>
          <w:szCs w:val="22"/>
        </w:rPr>
        <w:t xml:space="preserve">Research dosing varies by protocol and preclinical model. Reconstitution with bacteriostatic water is standard prior to laboratory use. Refer to the Iron Cell Research Peptide Calculator for reconstitution math specific to your vial size and target dose.</w:t>
      </w:r>
    </w:p>
    <w:p>
      <w:pPr>
        <w:spacing w:after="120" w:before="240"/>
      </w:pPr>
      <w:r>
        <w:rPr>
          <w:rFonts w:ascii="Arial" w:cs="Arial" w:eastAsia="Arial" w:hAnsi="Arial"/>
          <w:b/>
          <w:bCs/>
          <w:color w:val="CC0000"/>
          <w:sz w:val="32"/>
          <w:szCs w:val="32"/>
        </w:rPr>
        <w:t xml:space="preserve">Storage &amp; Handling</w:t>
      </w:r>
    </w:p>
    <w:p>
      <w:pPr>
        <w:spacing w:after="120"/>
      </w:pPr>
      <w:r>
        <w:rPr>
          <w:rFonts w:ascii="Arial" w:cs="Arial" w:eastAsia="Arial" w:hAnsi="Arial"/>
          <w:color w:val="222222"/>
          <w:sz w:val="22"/>
          <w:szCs w:val="22"/>
        </w:rPr>
        <w:t xml:space="preserve">Lyophilized Gen10 should be stored at -20 degrees C in its original vial, protected from light. Once reconstituted with bacteriostatic water, refrigerate at 2-8 degrees C and use within the standard research window. Do not freeze reconstituted solution. Discard if solution appears cloudy or discolored.</w:t>
      </w:r>
    </w:p>
    <w:p>
      <w:pPr>
        <w:spacing w:after="120" w:before="240"/>
      </w:pPr>
      <w:r>
        <w:rPr>
          <w:rFonts w:ascii="Arial" w:cs="Arial" w:eastAsia="Arial" w:hAnsi="Arial"/>
          <w:b/>
          <w:bCs/>
          <w:color w:val="CC0000"/>
          <w:sz w:val="32"/>
          <w:szCs w:val="32"/>
        </w:rPr>
        <w:t xml:space="preserve">Product Specifications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Product: Gen10 Research Kit</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Format: Lyophilized powder, individual vials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Kit size: 10 vials per kit</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Purity: &gt;= 98% (HPLC verified)</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Intended use: Laboratory research only</w:t>
      </w:r>
    </w:p>
    <w:p/>
    <w:p>
      <w:pPr>
        <w:spacing w:after="120" w:before="240"/>
      </w:pPr>
      <w:r>
        <w:rPr>
          <w:rFonts w:ascii="Arial" w:cs="Arial" w:eastAsia="Arial" w:hAnsi="Arial"/>
          <w:b/>
          <w:bCs/>
          <w:color w:val="CC0000"/>
          <w:sz w:val="32"/>
          <w:szCs w:val="32"/>
        </w:rPr>
        <w:t xml:space="preserve">Important Disclaimer</w:t>
      </w:r>
    </w:p>
    <w:p>
      <w:pPr>
        <w:spacing w:after="120"/>
      </w:pPr>
      <w:r>
        <w:rPr>
          <w:rFonts w:ascii="Arial" w:cs="Arial" w:eastAsia="Arial" w:hAnsi="Arial"/>
          <w:color w:val="222222"/>
          <w:sz w:val="22"/>
          <w:szCs w:val="22"/>
        </w:rPr>
        <w:t xml:space="preserve">All information in this brief is intended solely for scientific and educational research use. Products supplied by Iron Cell Research are not for human or veterinary consumption. Researchers must handle these compounds only in accordance with applicable laws, regulations, and institutional guidelines. Iron Cell Research makes no medical claims and does not endorse any therapeutic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2026-07-14T21:45:55.644Z</dcterms:created>
  <dcterms:modified xsi:type="dcterms:W3CDTF">2026-07-14T21:45:55.645Z</dcterms:modified>
</cp:coreProperties>
</file>

<file path=docProps/custom.xml><?xml version="1.0" encoding="utf-8"?>
<Properties xmlns="http://schemas.openxmlformats.org/officeDocument/2006/custom-properties" xmlns:vt="http://schemas.openxmlformats.org/officeDocument/2006/docPropsVTypes"/>
</file>