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Retatrutide</w:t>
      </w:r>
    </w:p>
    <w:p>
      <w:pPr>
        <w:pBdr>
          <w:bottom w:val="single" w:color="CC0000" w:sz="6" w:space="8"/>
        </w:pBdr>
        <w:spacing w:after="100"/>
        <w:jc w:val="center"/>
      </w:pPr>
      <w:r>
        <w:rPr>
          <w:rFonts w:ascii="Arial" w:cs="Arial" w:eastAsia="Arial" w:hAnsi="Arial"/>
          <w:color w:val="555555"/>
          <w:sz w:val="22"/>
          <w:szCs w:val="22"/>
        </w:rPr>
        <w:t xml:space="preserve">Triple Hormone Receptor Agonist | GLP-1/GIP/Glucagon</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Compound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Compound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Retatrutide (LY3437943)</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Triple Incretin Receptor Agonist (GLP-1/GIP/Glucagon)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Developer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Eli Lilly and Company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Approximately 5000 Da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Biological Half-Life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Approximately 6 days (supports weekly dosing)</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Greater than or equal to 99%</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Refrigerated 2-8C, protected from light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Phase 2 completed, Phase 3 (TRIUMPH program) ongoing</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Retatrutide is a novel triple agonist peptide targeting the GLP-1, GIP, and glucagon receptors simultaneously. Developed by Eli Lilly and Company, it represents a significant evolution beyond dual agonists such as tirzepatide by adding glucagon receptor activation to the therapeutic profile.</w:t>
      </w:r>
    </w:p>
    <w:p>
      <w:pPr>
        <w:spacing w:after="160" w:line="300"/>
      </w:pPr>
      <w:r>
        <w:rPr>
          <w:rFonts w:ascii="Arial" w:cs="Arial" w:eastAsia="Arial" w:hAnsi="Arial"/>
          <w:color w:val="000000"/>
          <w:sz w:val="22"/>
          <w:szCs w:val="22"/>
        </w:rPr>
        <w:t xml:space="preserve">In Phase 2 clinical trials, retatrutide demonstrated unprecedented weight loss of up to 24.2% at 48 weeks. The TRIUMPH Phase 3 program was launched in 2024 to evaluate retatrutide for obesity and related metabolic conditions across multiple large-scale trials.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Mechanism of Action</w:t>
      </w:r>
    </w:p>
    <w:p>
      <w:pPr>
        <w:pStyle w:val="Heading2"/>
      </w:pPr>
      <w:r>
        <w:rPr>
          <w:rFonts w:ascii="Arial" w:cs="Arial" w:eastAsia="Arial" w:hAnsi="Arial"/>
          <w:b/>
          <w:bCs/>
          <w:color w:val="CC0000"/>
          <w:sz w:val="28"/>
          <w:szCs w:val="28"/>
        </w:rPr>
        <w:t xml:space="preserve">GLP-1 Receptor Agonism</w:t>
      </w:r>
    </w:p>
    <w:p>
      <w:pPr>
        <w:spacing w:after="160" w:line="300"/>
      </w:pPr>
      <w:r>
        <w:rPr>
          <w:rFonts w:ascii="Arial" w:cs="Arial" w:eastAsia="Arial" w:hAnsi="Arial"/>
          <w:color w:val="000000"/>
          <w:sz w:val="22"/>
          <w:szCs w:val="22"/>
        </w:rPr>
        <w:t xml:space="preserve">Retatrutide activates GLP-1 receptors to promote glucose-dependent insulin secretion, suppress appetite through hypothalamic signaling, delay gastric emptying, and support beta-cell preservation and function.</w:t>
      </w:r>
    </w:p>
    <w:p>
      <w:pPr>
        <w:pStyle w:val="Heading2"/>
      </w:pPr>
      <w:r>
        <w:rPr>
          <w:rFonts w:ascii="Arial" w:cs="Arial" w:eastAsia="Arial" w:hAnsi="Arial"/>
          <w:b/>
          <w:bCs/>
          <w:color w:val="CC0000"/>
          <w:sz w:val="28"/>
          <w:szCs w:val="28"/>
        </w:rPr>
        <w:t xml:space="preserve">GIP Receptor Agonism</w:t>
      </w:r>
    </w:p>
    <w:p>
      <w:pPr>
        <w:spacing w:after="160" w:line="300"/>
      </w:pPr>
      <w:r>
        <w:rPr>
          <w:rFonts w:ascii="Arial" w:cs="Arial" w:eastAsia="Arial" w:hAnsi="Arial"/>
          <w:color w:val="000000"/>
          <w:sz w:val="22"/>
          <w:szCs w:val="22"/>
        </w:rPr>
        <w:t xml:space="preserve">GIP receptor activation enhances insulin secretion, improves fat tissue metabolism and adipose function, supports bone density preservation, and provides complementary appetite regulation through distinct neural pathways.</w:t>
      </w:r>
    </w:p>
    <w:p>
      <w:pPr>
        <w:pStyle w:val="Heading2"/>
      </w:pPr>
      <w:r>
        <w:rPr>
          <w:rFonts w:ascii="Arial" w:cs="Arial" w:eastAsia="Arial" w:hAnsi="Arial"/>
          <w:b/>
          <w:bCs/>
          <w:color w:val="CC0000"/>
          <w:sz w:val="28"/>
          <w:szCs w:val="28"/>
        </w:rPr>
        <w:t xml:space="preserve">Glucagon Receptor Agonism</w:t>
      </w:r>
    </w:p>
    <w:p>
      <w:pPr>
        <w:spacing w:after="160" w:line="300"/>
      </w:pPr>
      <w:r>
        <w:rPr>
          <w:rFonts w:ascii="Arial" w:cs="Arial" w:eastAsia="Arial" w:hAnsi="Arial"/>
          <w:color w:val="000000"/>
          <w:sz w:val="22"/>
          <w:szCs w:val="22"/>
        </w:rPr>
        <w:t xml:space="preserve">The glucagon component distinguishes retatrutide from dual agonists. Glucagon receptor activation increases hepatic energy expenditure and fat oxidation, promotes thermogenesis, and enhances lipolysis in adipose tissue, contributing to greater overall weight loss.</w:t>
      </w:r>
    </w:p>
    <w:p>
      <w:pPr>
        <w:pStyle w:val="Heading2"/>
      </w:pPr>
      <w:r>
        <w:rPr>
          <w:rFonts w:ascii="Arial" w:cs="Arial" w:eastAsia="Arial" w:hAnsi="Arial"/>
          <w:b/>
          <w:bCs/>
          <w:color w:val="CC0000"/>
          <w:sz w:val="28"/>
          <w:szCs w:val="28"/>
        </w:rPr>
        <w:t xml:space="preserve">Synergistic Triple Action</w:t>
      </w:r>
    </w:p>
    <w:p>
      <w:pPr>
        <w:spacing w:after="160" w:line="300"/>
      </w:pPr>
      <w:r>
        <w:rPr>
          <w:rFonts w:ascii="Arial" w:cs="Arial" w:eastAsia="Arial" w:hAnsi="Arial"/>
          <w:color w:val="000000"/>
          <w:sz w:val="22"/>
          <w:szCs w:val="22"/>
        </w:rPr>
        <w:t xml:space="preserve">The three receptor pathways address different metabolic targets simultaneously, producing greater weight loss than mono or dual agonists. This multi-target approach addresses metabolic dysfunction from complementary angles for enhanced therapeutic potential.</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Research Benefits</w:t>
      </w:r>
    </w:p>
    <w:p>
      <w:pPr>
        <w:pStyle w:val="Heading2"/>
      </w:pPr>
      <w:r>
        <w:rPr>
          <w:rFonts w:ascii="Arial" w:cs="Arial" w:eastAsia="Arial" w:hAnsi="Arial"/>
          <w:b/>
          <w:bCs/>
          <w:color w:val="CC0000"/>
          <w:sz w:val="28"/>
          <w:szCs w:val="28"/>
        </w:rPr>
        <w:t xml:space="preserve">Weight Management</w:t>
      </w:r>
    </w:p>
    <w:p>
      <w:pPr>
        <w:pStyle w:val="ListParagraph"/>
        <w:numPr>
          <w:ilvl w:val="0"/>
          <w:numId w:val="2"/>
        </w:numPr>
        <w:spacing w:after="80" w:line="300"/>
      </w:pPr>
      <w:r>
        <w:rPr>
          <w:rFonts w:ascii="Arial" w:cs="Arial" w:eastAsia="Arial" w:hAnsi="Arial"/>
          <w:b/>
          <w:bCs/>
          <w:color w:val="CC0000"/>
          <w:sz w:val="22"/>
          <w:szCs w:val="22"/>
        </w:rPr>
        <w:t xml:space="preserve">Unprecedented Efficacy: </w:t>
      </w:r>
      <w:r>
        <w:rPr>
          <w:rFonts w:ascii="Arial" w:cs="Arial" w:eastAsia="Arial" w:hAnsi="Arial"/>
          <w:color w:val="000000"/>
          <w:sz w:val="22"/>
          <w:szCs w:val="22"/>
        </w:rPr>
        <w:t xml:space="preserve">Up to 24.2% body weight loss at 48 weeks in Phase 2 trials.</w:t>
      </w:r>
    </w:p>
    <w:p>
      <w:pPr>
        <w:pStyle w:val="ListParagraph"/>
        <w:numPr>
          <w:ilvl w:val="0"/>
          <w:numId w:val="2"/>
        </w:numPr>
        <w:spacing w:after="80" w:line="300"/>
      </w:pPr>
      <w:r>
        <w:rPr>
          <w:rFonts w:ascii="Arial" w:cs="Arial" w:eastAsia="Arial" w:hAnsi="Arial"/>
          <w:b/>
          <w:bCs/>
          <w:color w:val="CC0000"/>
          <w:sz w:val="22"/>
          <w:szCs w:val="22"/>
        </w:rPr>
        <w:t xml:space="preserve">Dose-Dependent Response: </w:t>
      </w:r>
      <w:r>
        <w:rPr>
          <w:rFonts w:ascii="Arial" w:cs="Arial" w:eastAsia="Arial" w:hAnsi="Arial"/>
          <w:color w:val="000000"/>
          <w:sz w:val="22"/>
          <w:szCs w:val="22"/>
        </w:rPr>
        <w:t xml:space="preserve">Clear dose-response relationship with higher doses producing greater weight reduction.</w:t>
      </w:r>
    </w:p>
    <w:p>
      <w:pPr>
        <w:pStyle w:val="ListParagraph"/>
        <w:numPr>
          <w:ilvl w:val="0"/>
          <w:numId w:val="2"/>
        </w:numPr>
        <w:spacing w:after="80" w:line="300"/>
      </w:pPr>
      <w:r>
        <w:rPr>
          <w:rFonts w:ascii="Arial" w:cs="Arial" w:eastAsia="Arial" w:hAnsi="Arial"/>
          <w:b/>
          <w:bCs/>
          <w:color w:val="CC0000"/>
          <w:sz w:val="22"/>
          <w:szCs w:val="22"/>
        </w:rPr>
        <w:t xml:space="preserve">Superior to Dual Agonists: </w:t>
      </w:r>
      <w:r>
        <w:rPr>
          <w:rFonts w:ascii="Arial" w:cs="Arial" w:eastAsia="Arial" w:hAnsi="Arial"/>
          <w:color w:val="000000"/>
          <w:sz w:val="22"/>
          <w:szCs w:val="22"/>
        </w:rPr>
        <w:t xml:space="preserve">Early data suggests potential superiority over GLP-1/GIP dual agonists.</w:t>
      </w:r>
    </w:p>
    <w:p>
      <w:pPr>
        <w:pStyle w:val="Heading2"/>
      </w:pPr>
      <w:r>
        <w:rPr>
          <w:rFonts w:ascii="Arial" w:cs="Arial" w:eastAsia="Arial" w:hAnsi="Arial"/>
          <w:b/>
          <w:bCs/>
          <w:color w:val="CC0000"/>
          <w:sz w:val="28"/>
          <w:szCs w:val="28"/>
        </w:rPr>
        <w:t xml:space="preserve">Metabolic Health</w:t>
      </w:r>
    </w:p>
    <w:p>
      <w:pPr>
        <w:pStyle w:val="ListParagraph"/>
        <w:numPr>
          <w:ilvl w:val="0"/>
          <w:numId w:val="2"/>
        </w:numPr>
        <w:spacing w:after="80" w:line="300"/>
      </w:pPr>
      <w:r>
        <w:rPr>
          <w:rFonts w:ascii="Arial" w:cs="Arial" w:eastAsia="Arial" w:hAnsi="Arial"/>
          <w:b/>
          <w:bCs/>
          <w:color w:val="CC0000"/>
          <w:sz w:val="22"/>
          <w:szCs w:val="22"/>
        </w:rPr>
        <w:t xml:space="preserve">Glycemic Control: </w:t>
      </w:r>
      <w:r>
        <w:rPr>
          <w:rFonts w:ascii="Arial" w:cs="Arial" w:eastAsia="Arial" w:hAnsi="Arial"/>
          <w:color w:val="000000"/>
          <w:sz w:val="22"/>
          <w:szCs w:val="22"/>
        </w:rPr>
        <w:t xml:space="preserve">Significant HbA1c reduction in subjects with type 2 diabetes.</w:t>
      </w:r>
    </w:p>
    <w:p>
      <w:pPr>
        <w:pStyle w:val="ListParagraph"/>
        <w:numPr>
          <w:ilvl w:val="0"/>
          <w:numId w:val="2"/>
        </w:numPr>
        <w:spacing w:after="80" w:line="300"/>
      </w:pPr>
      <w:r>
        <w:rPr>
          <w:rFonts w:ascii="Arial" w:cs="Arial" w:eastAsia="Arial" w:hAnsi="Arial"/>
          <w:b/>
          <w:bCs/>
          <w:color w:val="CC0000"/>
          <w:sz w:val="22"/>
          <w:szCs w:val="22"/>
        </w:rPr>
        <w:t xml:space="preserve">Insulin Sensitivity: </w:t>
      </w:r>
      <w:r>
        <w:rPr>
          <w:rFonts w:ascii="Arial" w:cs="Arial" w:eastAsia="Arial" w:hAnsi="Arial"/>
          <w:color w:val="000000"/>
          <w:sz w:val="22"/>
          <w:szCs w:val="22"/>
        </w:rPr>
        <w:t xml:space="preserve">Improved whole-body insulin sensitivity and glucose disposal.</w:t>
      </w:r>
    </w:p>
    <w:p>
      <w:pPr>
        <w:pStyle w:val="ListParagraph"/>
        <w:numPr>
          <w:ilvl w:val="0"/>
          <w:numId w:val="2"/>
        </w:numPr>
        <w:spacing w:after="80" w:line="300"/>
      </w:pPr>
      <w:r>
        <w:rPr>
          <w:rFonts w:ascii="Arial" w:cs="Arial" w:eastAsia="Arial" w:hAnsi="Arial"/>
          <w:b/>
          <w:bCs/>
          <w:color w:val="CC0000"/>
          <w:sz w:val="22"/>
          <w:szCs w:val="22"/>
        </w:rPr>
        <w:t xml:space="preserve">Lipid Profile: </w:t>
      </w:r>
      <w:r>
        <w:rPr>
          <w:rFonts w:ascii="Arial" w:cs="Arial" w:eastAsia="Arial" w:hAnsi="Arial"/>
          <w:color w:val="000000"/>
          <w:sz w:val="22"/>
          <w:szCs w:val="22"/>
        </w:rPr>
        <w:t xml:space="preserve">Improvements in triglycerides, LDL cholesterol, and overall lipid parameters.</w:t>
      </w:r>
    </w:p>
    <w:p>
      <w:pPr>
        <w:pStyle w:val="Heading2"/>
      </w:pPr>
      <w:r>
        <w:rPr>
          <w:rFonts w:ascii="Arial" w:cs="Arial" w:eastAsia="Arial" w:hAnsi="Arial"/>
          <w:b/>
          <w:bCs/>
          <w:color w:val="CC0000"/>
          <w:sz w:val="28"/>
          <w:szCs w:val="28"/>
        </w:rPr>
        <w:t xml:space="preserve">Hepatic Health</w:t>
      </w:r>
    </w:p>
    <w:p>
      <w:pPr>
        <w:pStyle w:val="ListParagraph"/>
        <w:numPr>
          <w:ilvl w:val="0"/>
          <w:numId w:val="2"/>
        </w:numPr>
        <w:spacing w:after="80" w:line="300"/>
      </w:pPr>
      <w:r>
        <w:rPr>
          <w:rFonts w:ascii="Arial" w:cs="Arial" w:eastAsia="Arial" w:hAnsi="Arial"/>
          <w:b/>
          <w:bCs/>
          <w:color w:val="CC0000"/>
          <w:sz w:val="22"/>
          <w:szCs w:val="22"/>
        </w:rPr>
        <w:t xml:space="preserve">Liver Fat Reduction: </w:t>
      </w:r>
      <w:r>
        <w:rPr>
          <w:rFonts w:ascii="Arial" w:cs="Arial" w:eastAsia="Arial" w:hAnsi="Arial"/>
          <w:color w:val="000000"/>
          <w:sz w:val="22"/>
          <w:szCs w:val="22"/>
        </w:rPr>
        <w:t xml:space="preserve">Significant reduction in hepatic steatosis markers.</w:t>
      </w:r>
    </w:p>
    <w:p>
      <w:pPr>
        <w:pStyle w:val="ListParagraph"/>
        <w:numPr>
          <w:ilvl w:val="0"/>
          <w:numId w:val="2"/>
        </w:numPr>
        <w:spacing w:after="80" w:line="300"/>
      </w:pPr>
      <w:r>
        <w:rPr>
          <w:rFonts w:ascii="Arial" w:cs="Arial" w:eastAsia="Arial" w:hAnsi="Arial"/>
          <w:b/>
          <w:bCs/>
          <w:color w:val="CC0000"/>
          <w:sz w:val="22"/>
          <w:szCs w:val="22"/>
        </w:rPr>
        <w:t xml:space="preserve">MASLD/NASH: </w:t>
      </w:r>
      <w:r>
        <w:rPr>
          <w:rFonts w:ascii="Arial" w:cs="Arial" w:eastAsia="Arial" w:hAnsi="Arial"/>
          <w:color w:val="000000"/>
          <w:sz w:val="22"/>
          <w:szCs w:val="22"/>
        </w:rPr>
        <w:t xml:space="preserve">Potential therapeutic application for metabolic-associated steatotic liver disease.</w:t>
      </w:r>
    </w:p>
    <w:p>
      <w:pPr>
        <w:pStyle w:val="Heading2"/>
      </w:pPr>
      <w:r>
        <w:rPr>
          <w:rFonts w:ascii="Arial" w:cs="Arial" w:eastAsia="Arial" w:hAnsi="Arial"/>
          <w:b/>
          <w:bCs/>
          <w:color w:val="CC0000"/>
          <w:sz w:val="28"/>
          <w:szCs w:val="28"/>
        </w:rPr>
        <w:t xml:space="preserve">Cardiovascular</w:t>
      </w:r>
    </w:p>
    <w:p>
      <w:pPr>
        <w:pStyle w:val="ListParagraph"/>
        <w:numPr>
          <w:ilvl w:val="0"/>
          <w:numId w:val="2"/>
        </w:numPr>
        <w:spacing w:after="80" w:line="300"/>
      </w:pPr>
      <w:r>
        <w:rPr>
          <w:rFonts w:ascii="Arial" w:cs="Arial" w:eastAsia="Arial" w:hAnsi="Arial"/>
          <w:b/>
          <w:bCs/>
          <w:color w:val="CC0000"/>
          <w:sz w:val="22"/>
          <w:szCs w:val="22"/>
        </w:rPr>
        <w:t xml:space="preserve">Risk Reduction: </w:t>
      </w:r>
      <w:r>
        <w:rPr>
          <w:rFonts w:ascii="Arial" w:cs="Arial" w:eastAsia="Arial" w:hAnsi="Arial"/>
          <w:color w:val="000000"/>
          <w:sz w:val="22"/>
          <w:szCs w:val="22"/>
        </w:rPr>
        <w:t xml:space="preserve">Improvements in multiple cardiovascular risk markers including blood pressure.</w:t>
      </w:r>
    </w:p>
    <w:p>
      <w:pPr>
        <w:pStyle w:val="ListParagraph"/>
        <w:numPr>
          <w:ilvl w:val="0"/>
          <w:numId w:val="2"/>
        </w:numPr>
        <w:spacing w:after="80" w:line="300"/>
      </w:pPr>
      <w:r>
        <w:rPr>
          <w:rFonts w:ascii="Arial" w:cs="Arial" w:eastAsia="Arial" w:hAnsi="Arial"/>
          <w:b/>
          <w:bCs/>
          <w:color w:val="CC0000"/>
          <w:sz w:val="22"/>
          <w:szCs w:val="22"/>
        </w:rPr>
        <w:t xml:space="preserve">Inflammatory Biomarkers: </w:t>
      </w:r>
      <w:r>
        <w:rPr>
          <w:rFonts w:ascii="Arial" w:cs="Arial" w:eastAsia="Arial" w:hAnsi="Arial"/>
          <w:color w:val="000000"/>
          <w:sz w:val="22"/>
          <w:szCs w:val="22"/>
        </w:rPr>
        <w:t xml:space="preserve">Reduction in systemic inflammatory markers associated with cardiometabolic risk.</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Reconstitution Guidelines</w:t>
      </w:r>
    </w:p>
    <w:p>
      <w:pPr>
        <w:spacing w:after="160" w:line="300"/>
      </w:pPr>
      <w:r>
        <w:rPr>
          <w:rFonts w:ascii="Arial" w:cs="Arial" w:eastAsia="Arial" w:hAnsi="Arial"/>
          <w:color w:val="000000"/>
          <w:sz w:val="22"/>
          <w:szCs w:val="22"/>
        </w:rPr>
        <w:t xml:space="preserve">For lyophilized research-grade retatrutide, follow these reconstitution steps:</w:t>
      </w:r>
    </w:p>
    <w:p>
      <w:pPr>
        <w:pStyle w:val="Heading2"/>
      </w:pPr>
      <w:r>
        <w:rPr>
          <w:rFonts w:ascii="Arial" w:cs="Arial" w:eastAsia="Arial" w:hAnsi="Arial"/>
          <w:b/>
          <w:bCs/>
          <w:color w:val="CC0000"/>
          <w:sz w:val="28"/>
          <w:szCs w:val="28"/>
        </w:rPr>
        <w:t xml:space="preserve">Preparation</w:t>
      </w:r>
    </w:p>
    <w:p>
      <w:pPr>
        <w:pStyle w:val="ListParagraph"/>
        <w:numPr>
          <w:ilvl w:val="0"/>
          <w:numId w:val="2"/>
        </w:numPr>
        <w:spacing w:after="80" w:line="300"/>
      </w:pPr>
      <w:r>
        <w:rPr>
          <w:rFonts w:ascii="Arial" w:cs="Arial" w:eastAsia="Arial" w:hAnsi="Arial"/>
          <w:b/>
          <w:bCs/>
          <w:color w:val="CC0000"/>
          <w:sz w:val="22"/>
          <w:szCs w:val="22"/>
        </w:rPr>
        <w:t xml:space="preserve">Temperature: </w:t>
      </w:r>
      <w:r>
        <w:rPr>
          <w:rFonts w:ascii="Arial" w:cs="Arial" w:eastAsia="Arial" w:hAnsi="Arial"/>
          <w:color w:val="000000"/>
          <w:sz w:val="22"/>
          <w:szCs w:val="22"/>
        </w:rPr>
        <w:t xml:space="preserve">Allow the vial to reach room temperature before reconstitution.</w:t>
      </w:r>
    </w:p>
    <w:p>
      <w:pPr>
        <w:pStyle w:val="ListParagraph"/>
        <w:numPr>
          <w:ilvl w:val="0"/>
          <w:numId w:val="2"/>
        </w:numPr>
        <w:spacing w:after="80" w:line="300"/>
      </w:pPr>
      <w:r>
        <w:rPr>
          <w:rFonts w:ascii="Arial" w:cs="Arial" w:eastAsia="Arial" w:hAnsi="Arial"/>
          <w:b/>
          <w:bCs/>
          <w:color w:val="CC0000"/>
          <w:sz w:val="22"/>
          <w:szCs w:val="22"/>
        </w:rPr>
        <w:t xml:space="preserve">Inspection: </w:t>
      </w:r>
      <w:r>
        <w:rPr>
          <w:rFonts w:ascii="Arial" w:cs="Arial" w:eastAsia="Arial" w:hAnsi="Arial"/>
          <w:color w:val="000000"/>
          <w:sz w:val="22"/>
          <w:szCs w:val="22"/>
        </w:rPr>
        <w:t xml:space="preserve">Inspect the vial for any visible particles or discoloration.</w:t>
      </w:r>
    </w:p>
    <w:p>
      <w:pPr>
        <w:pStyle w:val="ListParagraph"/>
        <w:numPr>
          <w:ilvl w:val="0"/>
          <w:numId w:val="2"/>
        </w:numPr>
        <w:spacing w:after="80" w:line="300"/>
      </w:pPr>
      <w:r>
        <w:rPr>
          <w:rFonts w:ascii="Arial" w:cs="Arial" w:eastAsia="Arial" w:hAnsi="Arial"/>
          <w:b/>
          <w:bCs/>
          <w:color w:val="CC0000"/>
          <w:sz w:val="22"/>
          <w:szCs w:val="22"/>
        </w:rPr>
        <w:t xml:space="preserve">Cleanliness: </w:t>
      </w:r>
      <w:r>
        <w:rPr>
          <w:rFonts w:ascii="Arial" w:cs="Arial" w:eastAsia="Arial" w:hAnsi="Arial"/>
          <w:color w:val="000000"/>
          <w:sz w:val="22"/>
          <w:szCs w:val="22"/>
        </w:rPr>
        <w:t xml:space="preserve">Wash hands thoroughly and prepare a clean work surface. Swab vial stopper with alcohol and allow to dry.</w:t>
      </w:r>
    </w:p>
    <w:p>
      <w:pPr>
        <w:pStyle w:val="Heading2"/>
      </w:pPr>
      <w:r>
        <w:rPr>
          <w:rFonts w:ascii="Arial" w:cs="Arial" w:eastAsia="Arial" w:hAnsi="Arial"/>
          <w:b/>
          <w:bCs/>
          <w:color w:val="CC0000"/>
          <w:sz w:val="28"/>
          <w:szCs w:val="28"/>
        </w:rPr>
        <w:t xml:space="preserve">Reconstitution Process</w:t>
      </w:r>
    </w:p>
    <w:p>
      <w:pPr>
        <w:pStyle w:val="ListParagraph"/>
        <w:numPr>
          <w:ilvl w:val="0"/>
          <w:numId w:val="2"/>
        </w:numPr>
        <w:spacing w:after="80" w:line="300"/>
      </w:pPr>
      <w:r>
        <w:rPr>
          <w:rFonts w:ascii="Arial" w:cs="Arial" w:eastAsia="Arial" w:hAnsi="Arial"/>
          <w:b/>
          <w:bCs/>
          <w:color w:val="CC0000"/>
          <w:sz w:val="22"/>
          <w:szCs w:val="22"/>
        </w:rPr>
        <w:t xml:space="preserve">Step 1: </w:t>
      </w:r>
      <w:r>
        <w:rPr>
          <w:rFonts w:ascii="Arial" w:cs="Arial" w:eastAsia="Arial" w:hAnsi="Arial"/>
          <w:color w:val="000000"/>
          <w:sz w:val="22"/>
          <w:szCs w:val="22"/>
        </w:rPr>
        <w:t xml:space="preserve">Add the specified volume of BAC water to the vial containing the lyophilized retatrutide powder. Direct the stream gently along the inner vial wall, not directly onto the powder.</w:t>
      </w:r>
    </w:p>
    <w:p>
      <w:pPr>
        <w:pStyle w:val="ListParagraph"/>
        <w:numPr>
          <w:ilvl w:val="0"/>
          <w:numId w:val="2"/>
        </w:numPr>
        <w:spacing w:after="80" w:line="300"/>
      </w:pPr>
      <w:r>
        <w:rPr>
          <w:rFonts w:ascii="Arial" w:cs="Arial" w:eastAsia="Arial" w:hAnsi="Arial"/>
          <w:b/>
          <w:bCs/>
          <w:color w:val="CC0000"/>
          <w:sz w:val="22"/>
          <w:szCs w:val="22"/>
        </w:rPr>
        <w:t xml:space="preserve">Step 2: </w:t>
      </w:r>
      <w:r>
        <w:rPr>
          <w:rFonts w:ascii="Arial" w:cs="Arial" w:eastAsia="Arial" w:hAnsi="Arial"/>
          <w:color w:val="000000"/>
          <w:sz w:val="22"/>
          <w:szCs w:val="22"/>
        </w:rPr>
        <w:t xml:space="preserve">Gently roll or swirl the vial between palms to promote dissolution. Do not shake vigorously as this may cause foaming and protein denaturation.</w:t>
      </w:r>
    </w:p>
    <w:p>
      <w:pPr>
        <w:pStyle w:val="ListParagraph"/>
        <w:numPr>
          <w:ilvl w:val="0"/>
          <w:numId w:val="2"/>
        </w:numPr>
        <w:spacing w:after="80" w:line="300"/>
      </w:pPr>
      <w:r>
        <w:rPr>
          <w:rFonts w:ascii="Arial" w:cs="Arial" w:eastAsia="Arial" w:hAnsi="Arial"/>
          <w:b/>
          <w:bCs/>
          <w:color w:val="CC0000"/>
          <w:sz w:val="22"/>
          <w:szCs w:val="22"/>
        </w:rPr>
        <w:t xml:space="preserve">Step 3: </w:t>
      </w:r>
      <w:r>
        <w:rPr>
          <w:rFonts w:ascii="Arial" w:cs="Arial" w:eastAsia="Arial" w:hAnsi="Arial"/>
          <w:color w:val="000000"/>
          <w:sz w:val="22"/>
          <w:szCs w:val="22"/>
        </w:rPr>
        <w:t xml:space="preserve">Continue gentle swirling until the solution appears clear and free of particles. Retatrutide typically dissolves within 30-90 seconds.</w:t>
      </w:r>
    </w:p>
    <w:p>
      <w:pPr>
        <w:pStyle w:val="ListParagraph"/>
        <w:numPr>
          <w:ilvl w:val="0"/>
          <w:numId w:val="2"/>
        </w:numPr>
        <w:spacing w:after="80" w:line="300"/>
      </w:pPr>
      <w:r>
        <w:rPr>
          <w:rFonts w:ascii="Arial" w:cs="Arial" w:eastAsia="Arial" w:hAnsi="Arial"/>
          <w:b/>
          <w:bCs/>
          <w:color w:val="CC0000"/>
          <w:sz w:val="22"/>
          <w:szCs w:val="22"/>
        </w:rPr>
        <w:t xml:space="preserve">Step 4: </w:t>
      </w:r>
      <w:r>
        <w:rPr>
          <w:rFonts w:ascii="Arial" w:cs="Arial" w:eastAsia="Arial" w:hAnsi="Arial"/>
          <w:color w:val="000000"/>
          <w:sz w:val="22"/>
          <w:szCs w:val="22"/>
        </w:rPr>
        <w:t xml:space="preserve">Visually inspect the reconstituted solution for clarity. Solution should be clear and colorless to slightly yellow. Do not use if solution contains visible particles or is discolored.</w:t>
      </w:r>
    </w:p>
    <w:p>
      <w:pPr>
        <w:pStyle w:val="Heading2"/>
      </w:pPr>
      <w:r>
        <w:rPr>
          <w:rFonts w:ascii="Arial" w:cs="Arial" w:eastAsia="Arial" w:hAnsi="Arial"/>
          <w:b/>
          <w:bCs/>
          <w:color w:val="CC0000"/>
          <w:sz w:val="28"/>
          <w:szCs w:val="28"/>
        </w:rPr>
        <w:t xml:space="preserve">Simplified Dilution Guide</w:t>
      </w:r>
    </w:p>
    <w:p>
      <w:pPr>
        <w:spacing w:after="160" w:line="300"/>
      </w:pPr>
      <w:r>
        <w:rPr>
          <w:rFonts w:ascii="Arial" w:cs="Arial" w:eastAsia="Arial" w:hAnsi="Arial"/>
          <w:color w:val="000000"/>
          <w:sz w:val="22"/>
          <w:szCs w:val="22"/>
        </w:rPr>
        <w:t xml:space="preserve">To standardize dosing and reduce errors, use the following reconstitution ratios. This creates a uniform concentration of 10 mg/mL across all vial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6 mg Vial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Add 0.6 mL BAC water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10 mg Vial</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Add 1.0 mL BAC water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12 mg Vial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Add 1.2 mL BAC water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15 mg Vial</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Add 1.5 mL BAC water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20 mg Vial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Add 2.0 mL BAC water</w:t>
            </w:r>
          </w:p>
        </w:tc>
      </w:tr>
    </w:tbl>
    <w:p>
      <w:pPr>
        <w:spacing w:before="200"/>
      </w:pPr>
    </w:p>
    <w:p>
      <w:pPr>
        <w:spacing w:after="160" w:line="300"/>
      </w:pPr>
      <w:r>
        <w:rPr>
          <w:rFonts w:ascii="Arial" w:cs="Arial" w:eastAsia="Arial" w:hAnsi="Arial"/>
          <w:color w:val="000000"/>
          <w:sz w:val="22"/>
          <w:szCs w:val="22"/>
        </w:rPr>
        <w:t xml:space="preserve">Resulting concentration: 0.1 mL (10 units on insulin syringe) = 1 mg. This method makes subcutaneous dosing straightforward and minimizes measurement errors.</w:t>
      </w:r>
    </w:p>
    <w:p>
      <w:pPr>
        <w:pStyle w:val="Heading2"/>
      </w:pPr>
      <w:r>
        <w:rPr>
          <w:rFonts w:ascii="Arial" w:cs="Arial" w:eastAsia="Arial" w:hAnsi="Arial"/>
          <w:b/>
          <w:bCs/>
          <w:color w:val="CC0000"/>
          <w:sz w:val="28"/>
          <w:szCs w:val="28"/>
        </w:rPr>
        <w:t xml:space="preserve">Storage &amp;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 After Reconstitution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Refrigerate at 2-8C, use within 28 days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Lyophilized 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Store at -20C, stable for 24+ months sealed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Important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Do NOT use acetic acid; retatrutide is sufficiently water-soluble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Needle Gauge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29-31 gauge insulin syringe for subcutaneous injection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Subcutaneous (abdomen, thigh, upper arm), rotate sites weekly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Frequency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Administer full dose once weekly</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dosage information is based on clinical trial protocols for research reference purposes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Titration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0.5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Weekly (weeks 1-4)</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Escalation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1-2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Weekly (weeks 5-8)</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Intermediate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4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Weekly (weeks 9-12)</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Target/Maintenance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8-12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Weekly (ongoing)</w:t>
            </w:r>
          </w:p>
        </w:tc>
      </w:tr>
    </w:tbl>
    <w:p>
      <w:pPr>
        <w:spacing w:before="200"/>
      </w:pPr>
    </w:p>
    <w:p>
      <w:pPr>
        <w:pStyle w:val="Heading2"/>
      </w:pPr>
      <w:r>
        <w:rPr>
          <w:rFonts w:ascii="Arial" w:cs="Arial" w:eastAsia="Arial" w:hAnsi="Arial"/>
          <w:b/>
          <w:bCs/>
          <w:color w:val="CC0000"/>
          <w:sz w:val="28"/>
          <w:szCs w:val="28"/>
        </w:rPr>
        <w:t xml:space="preserve">Administration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Formulation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Pre-filled pen (clinical); research: lyophilized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Solvent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Sterile bacteriostatic water (research use)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Refrigerate at 2-8C, protected from light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Subcutaneous (abdomen, thigh, upper arm), rotate sites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Timing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Once weekly, same day each week</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Safety data from Phase 2 clinical trials indicates the following:</w:t>
      </w:r>
    </w:p>
    <w:p>
      <w:pPr>
        <w:pStyle w:val="ListParagraph"/>
        <w:numPr>
          <w:ilvl w:val="0"/>
          <w:numId w:val="2"/>
        </w:numPr>
        <w:spacing w:after="80" w:line="300"/>
      </w:pPr>
      <w:r>
        <w:rPr>
          <w:rFonts w:ascii="Arial" w:cs="Arial" w:eastAsia="Arial" w:hAnsi="Arial"/>
          <w:b/>
          <w:bCs/>
          <w:color w:val="CC0000"/>
          <w:sz w:val="22"/>
          <w:szCs w:val="22"/>
        </w:rPr>
        <w:t xml:space="preserve">Gastrointestinal Effects: </w:t>
      </w:r>
      <w:r>
        <w:rPr>
          <w:rFonts w:ascii="Arial" w:cs="Arial" w:eastAsia="Arial" w:hAnsi="Arial"/>
          <w:color w:val="000000"/>
          <w:sz w:val="22"/>
          <w:szCs w:val="22"/>
        </w:rPr>
        <w:t xml:space="preserve">Nausea, diarrhea, and vomiting are the most common adverse effects, typically dose-dependent and improving over time with continued use.</w:t>
      </w:r>
    </w:p>
    <w:p>
      <w:pPr>
        <w:pStyle w:val="ListParagraph"/>
        <w:numPr>
          <w:ilvl w:val="0"/>
          <w:numId w:val="2"/>
        </w:numPr>
        <w:spacing w:after="80" w:line="300"/>
      </w:pPr>
      <w:r>
        <w:rPr>
          <w:rFonts w:ascii="Arial" w:cs="Arial" w:eastAsia="Arial" w:hAnsi="Arial"/>
          <w:b/>
          <w:bCs/>
          <w:color w:val="CC0000"/>
          <w:sz w:val="22"/>
          <w:szCs w:val="22"/>
        </w:rPr>
        <w:t xml:space="preserve">Decreased Appetite: </w:t>
      </w:r>
      <w:r>
        <w:rPr>
          <w:rFonts w:ascii="Arial" w:cs="Arial" w:eastAsia="Arial" w:hAnsi="Arial"/>
          <w:color w:val="000000"/>
          <w:sz w:val="22"/>
          <w:szCs w:val="22"/>
        </w:rPr>
        <w:t xml:space="preserve">Expected pharmacological effect of GLP-1 and melanocortin pathway activation.</w:t>
      </w:r>
    </w:p>
    <w:p>
      <w:pPr>
        <w:pStyle w:val="ListParagraph"/>
        <w:numPr>
          <w:ilvl w:val="0"/>
          <w:numId w:val="2"/>
        </w:numPr>
        <w:spacing w:after="80" w:line="300"/>
      </w:pPr>
      <w:r>
        <w:rPr>
          <w:rFonts w:ascii="Arial" w:cs="Arial" w:eastAsia="Arial" w:hAnsi="Arial"/>
          <w:b/>
          <w:bCs/>
          <w:color w:val="CC0000"/>
          <w:sz w:val="22"/>
          <w:szCs w:val="22"/>
        </w:rPr>
        <w:t xml:space="preserve">Injection Site Reactions: </w:t>
      </w:r>
      <w:r>
        <w:rPr>
          <w:rFonts w:ascii="Arial" w:cs="Arial" w:eastAsia="Arial" w:hAnsi="Arial"/>
          <w:color w:val="000000"/>
          <w:sz w:val="22"/>
          <w:szCs w:val="22"/>
        </w:rPr>
        <w:t xml:space="preserve">Mild erythema or discomfort at injection sites reported in some subjects.</w:t>
      </w:r>
    </w:p>
    <w:p>
      <w:pPr>
        <w:pStyle w:val="ListParagraph"/>
        <w:numPr>
          <w:ilvl w:val="0"/>
          <w:numId w:val="2"/>
        </w:numPr>
        <w:spacing w:after="80" w:line="300"/>
      </w:pPr>
      <w:r>
        <w:rPr>
          <w:rFonts w:ascii="Arial" w:cs="Arial" w:eastAsia="Arial" w:hAnsi="Arial"/>
          <w:b/>
          <w:bCs/>
          <w:color w:val="CC0000"/>
          <w:sz w:val="22"/>
          <w:szCs w:val="22"/>
        </w:rPr>
        <w:t xml:space="preserve">Thyroid Concerns: </w:t>
      </w:r>
      <w:r>
        <w:rPr>
          <w:rFonts w:ascii="Arial" w:cs="Arial" w:eastAsia="Arial" w:hAnsi="Arial"/>
          <w:color w:val="000000"/>
          <w:sz w:val="22"/>
          <w:szCs w:val="22"/>
        </w:rPr>
        <w:t xml:space="preserve">GLP-1 receptor agonist class carries a boxed warning regarding thyroid C-cell tumors observed in rodent studies.</w:t>
      </w:r>
    </w:p>
    <w:p>
      <w:pPr>
        <w:pStyle w:val="ListParagraph"/>
        <w:numPr>
          <w:ilvl w:val="0"/>
          <w:numId w:val="2"/>
        </w:numPr>
        <w:spacing w:after="80" w:line="300"/>
      </w:pPr>
      <w:r>
        <w:rPr>
          <w:rFonts w:ascii="Arial" w:cs="Arial" w:eastAsia="Arial" w:hAnsi="Arial"/>
          <w:b/>
          <w:bCs/>
          <w:color w:val="CC0000"/>
          <w:sz w:val="22"/>
          <w:szCs w:val="22"/>
        </w:rPr>
        <w:t xml:space="preserve">Pancreatitis: </w:t>
      </w:r>
      <w:r>
        <w:rPr>
          <w:rFonts w:ascii="Arial" w:cs="Arial" w:eastAsia="Arial" w:hAnsi="Arial"/>
          <w:color w:val="000000"/>
          <w:sz w:val="22"/>
          <w:szCs w:val="22"/>
        </w:rPr>
        <w:t xml:space="preserve">Rare but monitored risk consistent with the GLP-1 receptor agonist class.</w:t>
      </w:r>
    </w:p>
    <w:p>
      <w:pPr>
        <w:pStyle w:val="ListParagraph"/>
        <w:numPr>
          <w:ilvl w:val="0"/>
          <w:numId w:val="2"/>
        </w:numPr>
        <w:spacing w:after="80" w:line="300"/>
      </w:pPr>
      <w:r>
        <w:rPr>
          <w:rFonts w:ascii="Arial" w:cs="Arial" w:eastAsia="Arial" w:hAnsi="Arial"/>
          <w:b/>
          <w:bCs/>
          <w:color w:val="CC0000"/>
          <w:sz w:val="22"/>
          <w:szCs w:val="22"/>
        </w:rPr>
        <w:t xml:space="preserve">Contraindications: </w:t>
      </w:r>
      <w:r>
        <w:rPr>
          <w:rFonts w:ascii="Arial" w:cs="Arial" w:eastAsia="Arial" w:hAnsi="Arial"/>
          <w:color w:val="000000"/>
          <w:sz w:val="22"/>
          <w:szCs w:val="22"/>
        </w:rPr>
        <w:t xml:space="preserve">Personal or family history of medullary thyroid carcinoma (MTC) or Multiple Endocrine Neoplasia syndrome type 2 (MEN2). Pregnancy not recommended.</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Jastreboff AM, et al. Triple-Hormone-Receptor Agonist Retatrutide for Obesity. New England Journal of Medicine. 2023.</w:t>
      </w:r>
    </w:p>
    <w:p>
      <w:pPr>
        <w:pStyle w:val="ListParagraph"/>
        <w:numPr>
          <w:ilvl w:val="0"/>
          <w:numId w:val="3"/>
        </w:numPr>
        <w:spacing w:after="80" w:line="300"/>
      </w:pPr>
      <w:r>
        <w:rPr>
          <w:rFonts w:ascii="Arial" w:cs="Arial" w:eastAsia="Arial" w:hAnsi="Arial"/>
          <w:color w:val="000000"/>
          <w:sz w:val="20"/>
          <w:szCs w:val="20"/>
        </w:rPr>
        <w:t xml:space="preserve">Rosenstock J, et al. Retatrutide, a GIP, GLP-1 and Glucagon Receptor Agonist, for People with Type 2 Diabetes. Lancet. 2023.</w:t>
      </w:r>
    </w:p>
    <w:p>
      <w:pPr>
        <w:pStyle w:val="ListParagraph"/>
        <w:numPr>
          <w:ilvl w:val="0"/>
          <w:numId w:val="3"/>
        </w:numPr>
        <w:spacing w:after="80" w:line="300"/>
      </w:pPr>
      <w:r>
        <w:rPr>
          <w:rFonts w:ascii="Arial" w:cs="Arial" w:eastAsia="Arial" w:hAnsi="Arial"/>
          <w:color w:val="000000"/>
          <w:sz w:val="20"/>
          <w:szCs w:val="20"/>
        </w:rPr>
        <w:t xml:space="preserve">Coskun T, et al. LY3437943, a Novel Triple GIP/GLP-1/Glucagon Receptor Agonist for Glycemic Control and Weight Loss. Cell Metabolism. 2022.</w:t>
      </w:r>
    </w:p>
    <w:p>
      <w:pPr>
        <w:pStyle w:val="ListParagraph"/>
        <w:numPr>
          <w:ilvl w:val="0"/>
          <w:numId w:val="3"/>
        </w:numPr>
        <w:spacing w:after="80" w:line="300"/>
      </w:pPr>
      <w:r>
        <w:rPr>
          <w:rFonts w:ascii="Arial" w:cs="Arial" w:eastAsia="Arial" w:hAnsi="Arial"/>
          <w:color w:val="000000"/>
          <w:sz w:val="20"/>
          <w:szCs w:val="20"/>
        </w:rPr>
        <w:t xml:space="preserve">Finan B, et al. A Rationally Designed Monomeric Peptide Triagonist Corrects Obesity and Diabetes in Rodents. Nature Medicine. 2015.</w:t>
      </w:r>
    </w:p>
    <w:p>
      <w:pPr>
        <w:pStyle w:val="ListParagraph"/>
        <w:numPr>
          <w:ilvl w:val="0"/>
          <w:numId w:val="3"/>
        </w:numPr>
        <w:spacing w:after="80" w:line="300"/>
      </w:pPr>
      <w:r>
        <w:rPr>
          <w:rFonts w:ascii="Arial" w:cs="Arial" w:eastAsia="Arial" w:hAnsi="Arial"/>
          <w:color w:val="000000"/>
          <w:sz w:val="20"/>
          <w:szCs w:val="20"/>
        </w:rPr>
        <w:t xml:space="preserve">Urva S, et al. LY3437943 (Retatrutide), a GIP, GLP-1, and Glucagon Receptor Agonist, for People with Type 2 Diabetes. Cell Metabolism. 2022.</w:t>
      </w:r>
    </w:p>
    <w:p>
      <w:pPr>
        <w:pStyle w:val="ListParagraph"/>
        <w:numPr>
          <w:ilvl w:val="0"/>
          <w:numId w:val="3"/>
        </w:numPr>
        <w:spacing w:after="80" w:line="300"/>
      </w:pPr>
      <w:r>
        <w:rPr>
          <w:rFonts w:ascii="Arial" w:cs="Arial" w:eastAsia="Arial" w:hAnsi="Arial"/>
          <w:color w:val="000000"/>
          <w:sz w:val="20"/>
          <w:szCs w:val="20"/>
        </w:rPr>
        <w:t xml:space="preserve">Frias JP, et al. Efficacy and Safety of Retatrutide in People with Obesity. Nature Medicine. 2023.</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Retatrutide is sold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Retatrutide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Retatrutide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2026-03-28T19:52:56.623Z</dcterms:created>
  <dcterms:modified xsi:type="dcterms:W3CDTF">2026-03-28T19:52:56.623Z</dcterms:modified>
</cp:coreProperties>
</file>

<file path=docProps/custom.xml><?xml version="1.0" encoding="utf-8"?>
<Properties xmlns="http://schemas.openxmlformats.org/officeDocument/2006/custom-properties" xmlns:vt="http://schemas.openxmlformats.org/officeDocument/2006/docPropsVTypes"/>
</file>