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rFonts w:ascii="Arial" w:cs="Arial" w:eastAsia="Arial" w:hAnsi="Arial"/>
          <w:color w:val="999999"/>
          <w:sz w:val="22"/>
          <w:szCs w:val="22"/>
        </w:rPr>
        <w:t xml:space="preserve">PEPTIDE RESEARCH BRIEF</w:t>
      </w:r>
    </w:p>
    <w:p>
      <w:pPr>
        <w:jc w:val="center"/>
      </w:pPr>
      <w:r>
        <w:rPr>
          <w:rFonts w:ascii="Arial" w:cs="Arial" w:eastAsia="Arial" w:hAnsi="Arial"/>
          <w:b/>
          <w:bCs/>
          <w:color w:val="CC0000"/>
          <w:sz w:val="64"/>
          <w:szCs w:val="64"/>
        </w:rPr>
        <w:t xml:space="preserve">PT-141</w:t>
      </w:r>
    </w:p>
    <w:p>
      <w:pPr>
        <w:jc w:val="center"/>
      </w:pPr>
      <w:r>
        <w:rPr>
          <w:rFonts w:ascii="Arial" w:cs="Arial" w:eastAsia="Arial" w:hAnsi="Arial"/>
          <w:color w:val="555555"/>
          <w:sz w:val="22"/>
          <w:szCs w:val="22"/>
        </w:rPr>
        <w:t xml:space="preserve">Synthetic Melanocortin Analog | Melanocortin Receptor Research</w:t>
      </w:r>
    </w:p>
    <w:p/>
    <w:p>
      <w:pPr>
        <w:jc w:val="center"/>
      </w:pPr>
      <w:r>
        <w:rPr>
          <w:rFonts w:ascii="Arial" w:cs="Arial" w:eastAsia="Arial" w:hAnsi="Arial"/>
          <w:color w:val="333333"/>
          <w:sz w:val="24"/>
          <w:szCs w:val="24"/>
        </w:rPr>
        <w:t xml:space="preserve">Description, Benefits, Dosage &amp; Research Overview</w:t>
      </w:r>
    </w:p>
    <w:p/>
    <w:p>
      <w:pPr>
        <w:jc w:val="center"/>
      </w:pPr>
      <w:r>
        <w:rPr>
          <w:rFonts w:ascii="Arial" w:cs="Arial" w:eastAsia="Arial" w:hAnsi="Arial"/>
          <w:b/>
          <w:bCs/>
          <w:color w:val="CC0000"/>
          <w:sz w:val="26"/>
          <w:szCs w:val="26"/>
        </w:rPr>
        <w:t xml:space="preserve">Iron Cell Research</w:t>
      </w:r>
    </w:p>
    <w:p>
      <w:pPr>
        <w:jc w:val="center"/>
      </w:pPr>
      <w:r>
        <w:rPr>
          <w:rFonts w:ascii="Arial" w:cs="Arial" w:eastAsia="Arial" w:hAnsi="Arial"/>
          <w:color w:val="333333"/>
          <w:sz w:val="22"/>
          <w:szCs w:val="22"/>
        </w:rPr>
        <w:t xml:space="preserve">IronCellResearch.com</w:t>
      </w:r>
    </w:p>
    <w:p>
      <w:pPr>
        <w:jc w:val="center"/>
      </w:pPr>
      <w:r>
        <w:rPr>
          <w:rFonts w:ascii="Arial" w:cs="Arial" w:eastAsia="Arial" w:hAnsi="Arial"/>
          <w:color w:val="999999"/>
          <w:sz w:val="22"/>
          <w:szCs w:val="22"/>
        </w:rPr>
        <w:t xml:space="preserve">For Research Use Only</w:t>
      </w:r>
    </w:p>
    <w:p/>
    <w:p>
      <w:pPr>
        <w:spacing w:after="120" w:before="240"/>
      </w:pPr>
      <w:r>
        <w:rPr>
          <w:rFonts w:ascii="Arial" w:cs="Arial" w:eastAsia="Arial" w:hAnsi="Arial"/>
          <w:b/>
          <w:bCs/>
          <w:color w:val="CC0000"/>
          <w:sz w:val="32"/>
          <w:szCs w:val="32"/>
        </w:rPr>
        <w:t xml:space="preserve">Overview</w:t>
      </w:r>
    </w:p>
    <w:p>
      <w:pPr>
        <w:spacing w:after="120"/>
      </w:pPr>
      <w:r>
        <w:rPr>
          <w:rFonts w:ascii="Arial" w:cs="Arial" w:eastAsia="Arial" w:hAnsi="Arial"/>
          <w:color w:val="222222"/>
          <w:sz w:val="22"/>
          <w:szCs w:val="22"/>
        </w:rPr>
        <w:t xml:space="preserve">PT-141, also known as Bremelanotide, is a synthetic cyclic heptapeptide analog of alpha-melanocyte-stimulating hormone (alpha-MSH). It acts as a non-selective agonist at melanocortin receptors, with primary activity at MC3R and MC4R in the central nervous system. Unlike its predecessor Melanotan II, PT-141 was engineered to minimize activity at MC1R (skin pigmentation receptor).</w:t>
      </w:r>
    </w:p>
    <w:p>
      <w:pPr>
        <w:spacing w:after="120" w:before="240"/>
      </w:pPr>
      <w:r>
        <w:rPr>
          <w:rFonts w:ascii="Arial" w:cs="Arial" w:eastAsia="Arial" w:hAnsi="Arial"/>
          <w:b/>
          <w:bCs/>
          <w:color w:val="CC0000"/>
          <w:sz w:val="32"/>
          <w:szCs w:val="32"/>
        </w:rPr>
        <w:t xml:space="preserve">Mechanism of Action</w:t>
      </w:r>
    </w:p>
    <w:p>
      <w:pPr>
        <w:spacing w:after="120"/>
      </w:pPr>
      <w:r>
        <w:rPr>
          <w:rFonts w:ascii="Arial" w:cs="Arial" w:eastAsia="Arial" w:hAnsi="Arial"/>
          <w:color w:val="222222"/>
          <w:sz w:val="22"/>
          <w:szCs w:val="22"/>
        </w:rPr>
        <w:t xml:space="preserve">PT-141 crosses the blood-brain barrier and binds central melanocortin receptors, downstream of the hypothalamus. In preclinical models, activation of MC4R has been associated with modulation of neurogenic pathways involved in sexual arousal, appetite, and inflammatory signaling. The peptide does not act through the vascular system.</w:t>
      </w:r>
    </w:p>
    <w:p>
      <w:pPr>
        <w:spacing w:after="120" w:before="240"/>
      </w:pPr>
      <w:r>
        <w:rPr>
          <w:rFonts w:ascii="Arial" w:cs="Arial" w:eastAsia="Arial" w:hAnsi="Arial"/>
          <w:b/>
          <w:bCs/>
          <w:color w:val="CC0000"/>
          <w:sz w:val="32"/>
          <w:szCs w:val="32"/>
        </w:rPr>
        <w:t xml:space="preserve">Research Applications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Central nervous system and neuropeptide signaling research.</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Studies on melanocortin receptor pharmacology (MC3R, MC4R).</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Behavioral and neuroendocrine research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Anti-inflammatory pathway studies.</w:t>
      </w:r>
    </w:p>
    <w:p>
      <w:pPr>
        <w:spacing w:after="120" w:before="240"/>
      </w:pPr>
      <w:r>
        <w:rPr>
          <w:rFonts w:ascii="Arial" w:cs="Arial" w:eastAsia="Arial" w:hAnsi="Arial"/>
          <w:b/>
          <w:bCs/>
          <w:color w:val="CC0000"/>
          <w:sz w:val="32"/>
          <w:szCs w:val="32"/>
        </w:rPr>
        <w:t xml:space="preserve">Typical Research Dosing</w:t>
      </w:r>
    </w:p>
    <w:p>
      <w:pPr>
        <w:spacing w:after="120"/>
      </w:pPr>
      <w:r>
        <w:rPr>
          <w:rFonts w:ascii="Arial" w:cs="Arial" w:eastAsia="Arial" w:hAnsi="Arial"/>
          <w:color w:val="222222"/>
          <w:sz w:val="22"/>
          <w:szCs w:val="22"/>
        </w:rPr>
        <w:t xml:space="preserve">Reported research doses in the published literature and preclinical models range from 500 mcg to 2000 mcg per administration, most commonly subcutaneous. Reconstitution with 1-3 mL bacteriostatic water is standard. Refer to the Iron Cell Research Peptide Calculator for reconstitution math.</w:t>
      </w:r>
    </w:p>
    <w:p>
      <w:pPr>
        <w:spacing w:after="120" w:before="240"/>
      </w:pPr>
      <w:r>
        <w:rPr>
          <w:rFonts w:ascii="Arial" w:cs="Arial" w:eastAsia="Arial" w:hAnsi="Arial"/>
          <w:b/>
          <w:bCs/>
          <w:color w:val="CC0000"/>
          <w:sz w:val="32"/>
          <w:szCs w:val="32"/>
        </w:rPr>
        <w:t xml:space="preserve">Storage &amp; Handling</w:t>
      </w:r>
    </w:p>
    <w:p>
      <w:pPr>
        <w:spacing w:after="120"/>
      </w:pPr>
      <w:r>
        <w:rPr>
          <w:rFonts w:ascii="Arial" w:cs="Arial" w:eastAsia="Arial" w:hAnsi="Arial"/>
          <w:color w:val="222222"/>
          <w:sz w:val="22"/>
          <w:szCs w:val="22"/>
        </w:rPr>
        <w:t xml:space="preserve">Lyophilized PT-141 should be stored at -20 degrees C in its original vial, protected from light. Once reconstituted with bacteriostatic water, refrigerate at 2-8 degrees C and use within 30 days.</w:t>
      </w:r>
    </w:p>
    <w:p>
      <w:pPr>
        <w:spacing w:after="120" w:before="240"/>
      </w:pPr>
      <w:r>
        <w:rPr>
          <w:rFonts w:ascii="Arial" w:cs="Arial" w:eastAsia="Arial" w:hAnsi="Arial"/>
          <w:b/>
          <w:bCs/>
          <w:color w:val="CC0000"/>
          <w:sz w:val="32"/>
          <w:szCs w:val="32"/>
        </w:rPr>
        <w:t xml:space="preserve">Product Specifications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Peptide: PT-141 (Bremelanotide)</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Purity: &gt;= 98% (HPLC verified)</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Format: Lyophilized powder, 10 mg per vial</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Molecular formula: C50H68N14O10</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Molecular weight: approx. 1025.2 g/mol</w:t>
      </w:r>
    </w:p>
    <w:p/>
    <w:p>
      <w:pPr>
        <w:spacing w:after="120" w:before="240"/>
      </w:pPr>
      <w:r>
        <w:rPr>
          <w:rFonts w:ascii="Arial" w:cs="Arial" w:eastAsia="Arial" w:hAnsi="Arial"/>
          <w:b/>
          <w:bCs/>
          <w:color w:val="CC0000"/>
          <w:sz w:val="32"/>
          <w:szCs w:val="32"/>
        </w:rPr>
        <w:t xml:space="preserve">Important Disclaimer</w:t>
      </w:r>
    </w:p>
    <w:p>
      <w:pPr>
        <w:spacing w:after="120"/>
      </w:pPr>
      <w:r>
        <w:rPr>
          <w:rFonts w:ascii="Arial" w:cs="Arial" w:eastAsia="Arial" w:hAnsi="Arial"/>
          <w:color w:val="222222"/>
          <w:sz w:val="22"/>
          <w:szCs w:val="22"/>
        </w:rPr>
        <w:t xml:space="preserve">All information in this brief is intended solely for scientific and educational research use. Products supplied by Iron Cell Research are not for human consumption. Researchers must handle these compounds only in accordance with applicable laws, regulations, and institutional guidelines. Iron Cell Research makes no medical claims and does not endorse any therapeutic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2026-07-07T23:30:15.320Z</dcterms:created>
  <dcterms:modified xsi:type="dcterms:W3CDTF">2026-07-07T23:30:15.320Z</dcterms:modified>
</cp:coreProperties>
</file>

<file path=docProps/custom.xml><?xml version="1.0" encoding="utf-8"?>
<Properties xmlns="http://schemas.openxmlformats.org/officeDocument/2006/custom-properties" xmlns:vt="http://schemas.openxmlformats.org/officeDocument/2006/docPropsVTypes"/>
</file>