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SLU-PP-332</w:t>
      </w:r>
    </w:p>
    <w:p>
      <w:pPr>
        <w:pBdr>
          <w:bottom w:val="single" w:color="CC0000" w:sz="6" w:space="8"/>
        </w:pBdr>
        <w:spacing w:after="100"/>
        <w:jc w:val="center"/>
      </w:pPr>
      <w:r>
        <w:rPr>
          <w:rFonts w:ascii="Arial" w:cs="Arial" w:eastAsia="Arial" w:hAnsi="Arial"/>
          <w:color w:val="555555"/>
          <w:sz w:val="22"/>
          <w:szCs w:val="22"/>
        </w:rPr>
        <w:t xml:space="preserve">Synthetic ERR Agonist | Small Molecule Exercise Mimetic</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SLU-PP-332</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Estrogen-Related Receptor (ERR) Pan-Agonist · Exercise Mimetic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Synthetic small molecule (non-peptide)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C19H17NO4</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323.34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2095432-65-6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12 hours (preclinical models)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powder, -20C,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Active preclinical research; no clinical trials to date</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SLU-PP-332 is a synthetic small molecule developed at Saint Louis University as a potent and selective pan-agonist of estrogen-related receptors (ERRα, ERRβ, ERRγ). Categorized as an exercise mimetic, SLU-PP-332 activates the same transcriptional programs triggered by aerobic exercise — driving mitochondrial biogenesis, fatty acid oxidation, and a shift toward slow-twitch muscle fiber composition without requiring physical activity.</w:t>
      </w:r>
    </w:p>
    <w:p>
      <w:pPr>
        <w:spacing w:after="160" w:line="300"/>
      </w:pPr>
      <w:r>
        <w:rPr>
          <w:rFonts w:ascii="Arial" w:cs="Arial" w:eastAsia="Arial" w:hAnsi="Arial"/>
          <w:color w:val="000000"/>
          <w:sz w:val="22"/>
          <w:szCs w:val="22"/>
        </w:rPr>
        <w:t xml:space="preserve">SLU-PP-332 binds the ligand-binding domains of all three ERR isoforms with low-nanomolar potency, recruiting transcriptional coactivators (PGC-1α / PGC-1β) and increasing expression of target genes governing oxidative phosphorylation, β-oxidation, and mitochondrial dynamics. ERRs are constitutively active orphan nuclear receptors that integrate metabolic signaling without an endogenous hormonal ligand.</w:t>
      </w:r>
    </w:p>
    <w:p>
      <w:pPr>
        <w:spacing w:after="160" w:line="300"/>
      </w:pPr>
      <w:r>
        <w:rPr>
          <w:rFonts w:ascii="Arial" w:cs="Arial" w:eastAsia="Arial" w:hAnsi="Arial"/>
          <w:color w:val="000000"/>
          <w:sz w:val="22"/>
          <w:szCs w:val="22"/>
        </w:rPr>
        <w:t xml:space="preserve">Unlike traditional exercise interventions, SLU-PP-332 reproduces key molecular adaptations of training in sedentary models — increasing endurance, oxidative capacity, and metabolic flexibility — making it a uniquely useful research tool for studying exercise-related pathways in vitro and in vivo.</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ERR Receptor Agonism</w:t>
      </w:r>
    </w:p>
    <w:p>
      <w:pPr>
        <w:spacing w:after="160" w:line="300"/>
      </w:pPr>
      <w:r>
        <w:rPr>
          <w:rFonts w:ascii="Arial" w:cs="Arial" w:eastAsia="Arial" w:hAnsi="Arial"/>
          <w:color w:val="000000"/>
          <w:sz w:val="22"/>
          <w:szCs w:val="22"/>
        </w:rPr>
        <w:t xml:space="preserve">SLU-PP-332 directly binds the ligand-binding domains of ERRα, ERRβ, and ERRγ at low-nanomolar concentrations, stabilizing the active conformation and recruiting PGC-1α/PGC-1β coactivators. This drives transcription of an ERR-target gene network governing cellular energetics in skeletal muscle, cardiac, and adipose tissue.</w:t>
      </w:r>
    </w:p>
    <w:p>
      <w:pPr>
        <w:pStyle w:val="Heading2"/>
      </w:pPr>
      <w:r>
        <w:rPr>
          <w:rFonts w:ascii="Arial" w:cs="Arial" w:eastAsia="Arial" w:hAnsi="Arial"/>
          <w:b/>
          <w:bCs/>
          <w:color w:val="CC0000"/>
          <w:sz w:val="28"/>
          <w:szCs w:val="28"/>
        </w:rPr>
        <w:t xml:space="preserve">Mitochondrial Biogenesis</w:t>
      </w:r>
    </w:p>
    <w:p>
      <w:pPr>
        <w:spacing w:after="160" w:line="300"/>
      </w:pPr>
      <w:r>
        <w:rPr>
          <w:rFonts w:ascii="Arial" w:cs="Arial" w:eastAsia="Arial" w:hAnsi="Arial"/>
          <w:color w:val="000000"/>
          <w:sz w:val="22"/>
          <w:szCs w:val="22"/>
        </w:rPr>
        <w:t xml:space="preserve">SLU-PP-332 upregulates nuclear-encoded mitochondrial genes including those of the electron transport chain, TCA cycle, and mitochondrial biogenesis program. In treated tissues this manifests as elevated mitochondrial content, improved oxidative capacity, and enhanced ATP-generating potential.</w:t>
      </w:r>
    </w:p>
    <w:p>
      <w:pPr>
        <w:pStyle w:val="Heading2"/>
      </w:pPr>
      <w:r>
        <w:rPr>
          <w:rFonts w:ascii="Arial" w:cs="Arial" w:eastAsia="Arial" w:hAnsi="Arial"/>
          <w:b/>
          <w:bCs/>
          <w:color w:val="CC0000"/>
          <w:sz w:val="28"/>
          <w:szCs w:val="28"/>
        </w:rPr>
        <w:t xml:space="preserve">Fatty Acid Oxidation</w:t>
      </w:r>
    </w:p>
    <w:p>
      <w:pPr>
        <w:spacing w:after="160" w:line="300"/>
      </w:pPr>
      <w:r>
        <w:rPr>
          <w:rFonts w:ascii="Arial" w:cs="Arial" w:eastAsia="Arial" w:hAnsi="Arial"/>
          <w:color w:val="000000"/>
          <w:sz w:val="22"/>
          <w:szCs w:val="22"/>
        </w:rPr>
        <w:t xml:space="preserve">By upregulating CPT1, MCAD, and other β-oxidation enzymes, SLU-PP-332 enhances fatty acid utilization for ATP production. In animal models this contributes to reductions in adiposity and improved metabolic flexibility, even on high-fat diets.</w:t>
      </w:r>
    </w:p>
    <w:p>
      <w:pPr>
        <w:pStyle w:val="Heading2"/>
      </w:pPr>
      <w:r>
        <w:rPr>
          <w:rFonts w:ascii="Arial" w:cs="Arial" w:eastAsia="Arial" w:hAnsi="Arial"/>
          <w:b/>
          <w:bCs/>
          <w:color w:val="CC0000"/>
          <w:sz w:val="28"/>
          <w:szCs w:val="28"/>
        </w:rPr>
        <w:t xml:space="preserve">Skeletal Muscle Remodeling</w:t>
      </w:r>
    </w:p>
    <w:p>
      <w:pPr>
        <w:spacing w:after="160" w:line="300"/>
      </w:pPr>
      <w:r>
        <w:rPr>
          <w:rFonts w:ascii="Arial" w:cs="Arial" w:eastAsia="Arial" w:hAnsi="Arial"/>
          <w:color w:val="000000"/>
          <w:sz w:val="22"/>
          <w:szCs w:val="22"/>
        </w:rPr>
        <w:t xml:space="preserve">SLU-PP-332 promotes a shift toward slow-twitch (Type I) oxidative muscle fibers, mirroring the molecular signature of endurance-trained muscle. In rodent studies this is accompanied by increased running endurance and time-to-exhaustion without any concurrent training.</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Exercise Performance &amp; Endurance</w:t>
      </w:r>
    </w:p>
    <w:p>
      <w:pPr>
        <w:pStyle w:val="ListParagraph"/>
        <w:numPr>
          <w:ilvl w:val="0"/>
          <w:numId w:val="2"/>
        </w:numPr>
        <w:spacing w:after="80" w:line="300"/>
      </w:pPr>
      <w:r>
        <w:rPr>
          <w:rFonts w:ascii="Arial" w:cs="Arial" w:eastAsia="Arial" w:hAnsi="Arial"/>
          <w:b/>
          <w:bCs/>
          <w:color w:val="CC0000"/>
          <w:sz w:val="22"/>
          <w:szCs w:val="22"/>
        </w:rPr>
        <w:t xml:space="preserve">Endurance Capacity: </w:t>
      </w:r>
      <w:r>
        <w:rPr>
          <w:rFonts w:ascii="Arial" w:cs="Arial" w:eastAsia="Arial" w:hAnsi="Arial"/>
          <w:color w:val="000000"/>
          <w:sz w:val="22"/>
          <w:szCs w:val="22"/>
        </w:rPr>
        <w:t xml:space="preserve">Significantly increased running distance and time-to-exhaustion in sedentary mice without any concurrent training.</w:t>
      </w:r>
    </w:p>
    <w:p>
      <w:pPr>
        <w:pStyle w:val="ListParagraph"/>
        <w:numPr>
          <w:ilvl w:val="0"/>
          <w:numId w:val="2"/>
        </w:numPr>
        <w:spacing w:after="80" w:line="300"/>
      </w:pPr>
      <w:r>
        <w:rPr>
          <w:rFonts w:ascii="Arial" w:cs="Arial" w:eastAsia="Arial" w:hAnsi="Arial"/>
          <w:b/>
          <w:bCs/>
          <w:color w:val="CC0000"/>
          <w:sz w:val="22"/>
          <w:szCs w:val="22"/>
        </w:rPr>
        <w:t xml:space="preserve">Aerobic Capacity: </w:t>
      </w:r>
      <w:r>
        <w:rPr>
          <w:rFonts w:ascii="Arial" w:cs="Arial" w:eastAsia="Arial" w:hAnsi="Arial"/>
          <w:color w:val="000000"/>
          <w:sz w:val="22"/>
          <w:szCs w:val="22"/>
        </w:rPr>
        <w:t xml:space="preserve">Enhances oxidative capacity and mitochondrial respiration in skeletal muscle, mirroring the metabolic signature of endurance training.</w:t>
      </w:r>
    </w:p>
    <w:p>
      <w:pPr>
        <w:pStyle w:val="ListParagraph"/>
        <w:numPr>
          <w:ilvl w:val="0"/>
          <w:numId w:val="2"/>
        </w:numPr>
        <w:spacing w:after="80" w:line="300"/>
      </w:pPr>
      <w:r>
        <w:rPr>
          <w:rFonts w:ascii="Arial" w:cs="Arial" w:eastAsia="Arial" w:hAnsi="Arial"/>
          <w:b/>
          <w:bCs/>
          <w:color w:val="CC0000"/>
          <w:sz w:val="22"/>
          <w:szCs w:val="22"/>
        </w:rPr>
        <w:t xml:space="preserve">Muscle Fiber Type: </w:t>
      </w:r>
      <w:r>
        <w:rPr>
          <w:rFonts w:ascii="Arial" w:cs="Arial" w:eastAsia="Arial" w:hAnsi="Arial"/>
          <w:color w:val="000000"/>
          <w:sz w:val="22"/>
          <w:szCs w:val="22"/>
        </w:rPr>
        <w:t xml:space="preserve">Increases the proportion of slow-twitch (Type I) oxidative muscle fibers, characteristic of endurance-trained tissue.</w:t>
      </w:r>
    </w:p>
    <w:p>
      <w:pPr>
        <w:pStyle w:val="ListParagraph"/>
        <w:numPr>
          <w:ilvl w:val="0"/>
          <w:numId w:val="2"/>
        </w:numPr>
        <w:spacing w:after="80" w:line="300"/>
      </w:pPr>
      <w:r>
        <w:rPr>
          <w:rFonts w:ascii="Arial" w:cs="Arial" w:eastAsia="Arial" w:hAnsi="Arial"/>
          <w:b/>
          <w:bCs/>
          <w:color w:val="CC0000"/>
          <w:sz w:val="22"/>
          <w:szCs w:val="22"/>
        </w:rPr>
        <w:t xml:space="preserve">Mitochondrial Function: </w:t>
      </w:r>
      <w:r>
        <w:rPr>
          <w:rFonts w:ascii="Arial" w:cs="Arial" w:eastAsia="Arial" w:hAnsi="Arial"/>
          <w:color w:val="000000"/>
          <w:sz w:val="22"/>
          <w:szCs w:val="22"/>
        </w:rPr>
        <w:t xml:space="preserve">Higher mitochondrial density and respiratory capacity in skeletal muscle following short-term treatment.</w:t>
      </w:r>
    </w:p>
    <w:p>
      <w:pPr>
        <w:pStyle w:val="Heading2"/>
      </w:pPr>
      <w:r>
        <w:rPr>
          <w:rFonts w:ascii="Arial" w:cs="Arial" w:eastAsia="Arial" w:hAnsi="Arial"/>
          <w:b/>
          <w:bCs/>
          <w:color w:val="CC0000"/>
          <w:sz w:val="28"/>
          <w:szCs w:val="28"/>
        </w:rPr>
        <w:t xml:space="preserve">Metabolic Health</w:t>
      </w:r>
    </w:p>
    <w:p>
      <w:pPr>
        <w:pStyle w:val="ListParagraph"/>
        <w:numPr>
          <w:ilvl w:val="0"/>
          <w:numId w:val="2"/>
        </w:numPr>
        <w:spacing w:after="80" w:line="300"/>
      </w:pPr>
      <w:r>
        <w:rPr>
          <w:rFonts w:ascii="Arial" w:cs="Arial" w:eastAsia="Arial" w:hAnsi="Arial"/>
          <w:b/>
          <w:bCs/>
          <w:color w:val="CC0000"/>
          <w:sz w:val="22"/>
          <w:szCs w:val="22"/>
        </w:rPr>
        <w:t xml:space="preserve">Sedentary Models: </w:t>
      </w:r>
      <w:r>
        <w:rPr>
          <w:rFonts w:ascii="Arial" w:cs="Arial" w:eastAsia="Arial" w:hAnsi="Arial"/>
          <w:color w:val="000000"/>
          <w:sz w:val="22"/>
          <w:szCs w:val="22"/>
        </w:rPr>
        <w:t xml:space="preserve">Improvements in glucose tolerance and insulin sensitivity in diet-induced obese mouse models.</w:t>
      </w:r>
    </w:p>
    <w:p>
      <w:pPr>
        <w:pStyle w:val="ListParagraph"/>
        <w:numPr>
          <w:ilvl w:val="0"/>
          <w:numId w:val="2"/>
        </w:numPr>
        <w:spacing w:after="80" w:line="300"/>
      </w:pPr>
      <w:r>
        <w:rPr>
          <w:rFonts w:ascii="Arial" w:cs="Arial" w:eastAsia="Arial" w:hAnsi="Arial"/>
          <w:b/>
          <w:bCs/>
          <w:color w:val="CC0000"/>
          <w:sz w:val="22"/>
          <w:szCs w:val="22"/>
        </w:rPr>
        <w:t xml:space="preserve">Lipid Profile: </w:t>
      </w:r>
      <w:r>
        <w:rPr>
          <w:rFonts w:ascii="Arial" w:cs="Arial" w:eastAsia="Arial" w:hAnsi="Arial"/>
          <w:color w:val="000000"/>
          <w:sz w:val="22"/>
          <w:szCs w:val="22"/>
        </w:rPr>
        <w:t xml:space="preserve">Reductions in circulating triglycerides and improvements in metabolic blood markers in preclinical models.</w:t>
      </w:r>
    </w:p>
    <w:p>
      <w:pPr>
        <w:pStyle w:val="ListParagraph"/>
        <w:numPr>
          <w:ilvl w:val="0"/>
          <w:numId w:val="2"/>
        </w:numPr>
        <w:spacing w:after="80" w:line="300"/>
      </w:pPr>
      <w:r>
        <w:rPr>
          <w:rFonts w:ascii="Arial" w:cs="Arial" w:eastAsia="Arial" w:hAnsi="Arial"/>
          <w:b/>
          <w:bCs/>
          <w:color w:val="CC0000"/>
          <w:sz w:val="22"/>
          <w:szCs w:val="22"/>
        </w:rPr>
        <w:t xml:space="preserve">Hepatic Metabolism: </w:t>
      </w:r>
      <w:r>
        <w:rPr>
          <w:rFonts w:ascii="Arial" w:cs="Arial" w:eastAsia="Arial" w:hAnsi="Arial"/>
          <w:color w:val="000000"/>
          <w:sz w:val="22"/>
          <w:szCs w:val="22"/>
        </w:rPr>
        <w:t xml:space="preserve">Decreased hepatic steatosis and enhanced fat oxidation in liver tissue.</w:t>
      </w:r>
    </w:p>
    <w:p>
      <w:pPr>
        <w:pStyle w:val="Heading2"/>
      </w:pPr>
      <w:r>
        <w:rPr>
          <w:rFonts w:ascii="Arial" w:cs="Arial" w:eastAsia="Arial" w:hAnsi="Arial"/>
          <w:b/>
          <w:bCs/>
          <w:color w:val="CC0000"/>
          <w:sz w:val="28"/>
          <w:szCs w:val="28"/>
        </w:rPr>
        <w:t xml:space="preserve">Body Composition</w:t>
      </w:r>
    </w:p>
    <w:p>
      <w:pPr>
        <w:pStyle w:val="ListParagraph"/>
        <w:numPr>
          <w:ilvl w:val="0"/>
          <w:numId w:val="2"/>
        </w:numPr>
        <w:spacing w:after="80" w:line="300"/>
      </w:pPr>
      <w:r>
        <w:rPr>
          <w:rFonts w:ascii="Arial" w:cs="Arial" w:eastAsia="Arial" w:hAnsi="Arial"/>
          <w:b/>
          <w:bCs/>
          <w:color w:val="CC0000"/>
          <w:sz w:val="22"/>
          <w:szCs w:val="22"/>
        </w:rPr>
        <w:t xml:space="preserve">Adiposity Reduction: </w:t>
      </w:r>
      <w:r>
        <w:rPr>
          <w:rFonts w:ascii="Arial" w:cs="Arial" w:eastAsia="Arial" w:hAnsi="Arial"/>
          <w:color w:val="000000"/>
          <w:sz w:val="22"/>
          <w:szCs w:val="22"/>
        </w:rPr>
        <w:t xml:space="preserve">Decreased body fat mass in obese mouse models without weight loss, with preservation of lean mass.</w:t>
      </w:r>
    </w:p>
    <w:p>
      <w:pPr>
        <w:pStyle w:val="ListParagraph"/>
        <w:numPr>
          <w:ilvl w:val="0"/>
          <w:numId w:val="2"/>
        </w:numPr>
        <w:spacing w:after="80" w:line="300"/>
      </w:pPr>
      <w:r>
        <w:rPr>
          <w:rFonts w:ascii="Arial" w:cs="Arial" w:eastAsia="Arial" w:hAnsi="Arial"/>
          <w:b/>
          <w:bCs/>
          <w:color w:val="CC0000"/>
          <w:sz w:val="22"/>
          <w:szCs w:val="22"/>
        </w:rPr>
        <w:t xml:space="preserve">Lean Mass: </w:t>
      </w:r>
      <w:r>
        <w:rPr>
          <w:rFonts w:ascii="Arial" w:cs="Arial" w:eastAsia="Arial" w:hAnsi="Arial"/>
          <w:color w:val="000000"/>
          <w:sz w:val="22"/>
          <w:szCs w:val="22"/>
        </w:rPr>
        <w:t xml:space="preserve">Maintains skeletal muscle mass while shifting fiber composition toward an oxidative phenotype.</w:t>
      </w:r>
    </w:p>
    <w:p>
      <w:pPr>
        <w:pStyle w:val="ListParagraph"/>
        <w:numPr>
          <w:ilvl w:val="0"/>
          <w:numId w:val="2"/>
        </w:numPr>
        <w:spacing w:after="80" w:line="300"/>
      </w:pPr>
      <w:r>
        <w:rPr>
          <w:rFonts w:ascii="Arial" w:cs="Arial" w:eastAsia="Arial" w:hAnsi="Arial"/>
          <w:b/>
          <w:bCs/>
          <w:color w:val="CC0000"/>
          <w:sz w:val="22"/>
          <w:szCs w:val="22"/>
        </w:rPr>
        <w:t xml:space="preserve">Energy Expenditure: </w:t>
      </w:r>
      <w:r>
        <w:rPr>
          <w:rFonts w:ascii="Arial" w:cs="Arial" w:eastAsia="Arial" w:hAnsi="Arial"/>
          <w:color w:val="000000"/>
          <w:sz w:val="22"/>
          <w:szCs w:val="22"/>
        </w:rPr>
        <w:t xml:space="preserve">Increased resting energy expenditure and substrate oxidation in metabolic chamber studies.</w:t>
      </w:r>
    </w:p>
    <w:p>
      <w:pPr>
        <w:pStyle w:val="Heading2"/>
      </w:pPr>
      <w:r>
        <w:rPr>
          <w:rFonts w:ascii="Arial" w:cs="Arial" w:eastAsia="Arial" w:hAnsi="Arial"/>
          <w:b/>
          <w:bCs/>
          <w:color w:val="CC0000"/>
          <w:sz w:val="28"/>
          <w:szCs w:val="28"/>
        </w:rPr>
        <w:t xml:space="preserve">Cardiovascular Research</w:t>
      </w:r>
    </w:p>
    <w:p>
      <w:pPr>
        <w:pStyle w:val="ListParagraph"/>
        <w:numPr>
          <w:ilvl w:val="0"/>
          <w:numId w:val="2"/>
        </w:numPr>
        <w:spacing w:after="80" w:line="300"/>
      </w:pPr>
      <w:r>
        <w:rPr>
          <w:rFonts w:ascii="Arial" w:cs="Arial" w:eastAsia="Arial" w:hAnsi="Arial"/>
          <w:b/>
          <w:bCs/>
          <w:color w:val="CC0000"/>
          <w:sz w:val="22"/>
          <w:szCs w:val="22"/>
        </w:rPr>
        <w:t xml:space="preserve">Cardiac Function: </w:t>
      </w:r>
      <w:r>
        <w:rPr>
          <w:rFonts w:ascii="Arial" w:cs="Arial" w:eastAsia="Arial" w:hAnsi="Arial"/>
          <w:color w:val="000000"/>
          <w:sz w:val="22"/>
          <w:szCs w:val="22"/>
        </w:rPr>
        <w:t xml:space="preserve">Cardiac-specific ERR signaling supports contractile function and metabolic flexibility under stress in animal models.</w:t>
      </w:r>
    </w:p>
    <w:p>
      <w:pPr>
        <w:pStyle w:val="ListParagraph"/>
        <w:numPr>
          <w:ilvl w:val="0"/>
          <w:numId w:val="2"/>
        </w:numPr>
        <w:spacing w:after="80" w:line="300"/>
      </w:pPr>
      <w:r>
        <w:rPr>
          <w:rFonts w:ascii="Arial" w:cs="Arial" w:eastAsia="Arial" w:hAnsi="Arial"/>
          <w:b/>
          <w:bCs/>
          <w:color w:val="CC0000"/>
          <w:sz w:val="22"/>
          <w:szCs w:val="22"/>
        </w:rPr>
        <w:t xml:space="preserve">Heart Failure Models: </w:t>
      </w:r>
      <w:r>
        <w:rPr>
          <w:rFonts w:ascii="Arial" w:cs="Arial" w:eastAsia="Arial" w:hAnsi="Arial"/>
          <w:color w:val="000000"/>
          <w:sz w:val="22"/>
          <w:szCs w:val="22"/>
        </w:rPr>
        <w:t xml:space="preserve">ERR pan-agonism has been studied in heart failure models with reduced metabolic capacity.</w:t>
      </w:r>
    </w:p>
    <w:p>
      <w:pPr>
        <w:pStyle w:val="ListParagraph"/>
        <w:numPr>
          <w:ilvl w:val="0"/>
          <w:numId w:val="2"/>
        </w:numPr>
        <w:spacing w:after="80" w:line="300"/>
      </w:pPr>
      <w:r>
        <w:rPr>
          <w:rFonts w:ascii="Arial" w:cs="Arial" w:eastAsia="Arial" w:hAnsi="Arial"/>
          <w:b/>
          <w:bCs/>
          <w:color w:val="CC0000"/>
          <w:sz w:val="22"/>
          <w:szCs w:val="22"/>
        </w:rPr>
        <w:t xml:space="preserve">Healthspan Markers: </w:t>
      </w:r>
      <w:r>
        <w:rPr>
          <w:rFonts w:ascii="Arial" w:cs="Arial" w:eastAsia="Arial" w:hAnsi="Arial"/>
          <w:color w:val="000000"/>
          <w:sz w:val="22"/>
          <w:szCs w:val="22"/>
        </w:rPr>
        <w:t xml:space="preserve">ERR pathway activation is implicated in vascular and endothelial homeostasis.</w:t>
      </w:r>
    </w:p>
    <w:p>
      <w:pPr>
        <w:pStyle w:val="Heading2"/>
      </w:pPr>
      <w:r>
        <w:rPr>
          <w:rFonts w:ascii="Arial" w:cs="Arial" w:eastAsia="Arial" w:hAnsi="Arial"/>
          <w:b/>
          <w:bCs/>
          <w:color w:val="CC0000"/>
          <w:sz w:val="28"/>
          <w:szCs w:val="28"/>
        </w:rPr>
        <w:t xml:space="preserve">Aging &amp; Healthspan</w:t>
      </w:r>
    </w:p>
    <w:p>
      <w:pPr>
        <w:pStyle w:val="ListParagraph"/>
        <w:numPr>
          <w:ilvl w:val="0"/>
          <w:numId w:val="2"/>
        </w:numPr>
        <w:spacing w:after="80" w:line="300"/>
      </w:pPr>
      <w:r>
        <w:rPr>
          <w:rFonts w:ascii="Arial" w:cs="Arial" w:eastAsia="Arial" w:hAnsi="Arial"/>
          <w:b/>
          <w:bCs/>
          <w:color w:val="CC0000"/>
          <w:sz w:val="22"/>
          <w:szCs w:val="22"/>
        </w:rPr>
        <w:t xml:space="preserve">Mitochondrial Aging: </w:t>
      </w:r>
      <w:r>
        <w:rPr>
          <w:rFonts w:ascii="Arial" w:cs="Arial" w:eastAsia="Arial" w:hAnsi="Arial"/>
          <w:color w:val="000000"/>
          <w:sz w:val="22"/>
          <w:szCs w:val="22"/>
        </w:rPr>
        <w:t xml:space="preserve">May counteract age-related decline in mitochondrial function via ERR-driven transcriptional support of biogenesis genes.</w:t>
      </w:r>
    </w:p>
    <w:p>
      <w:pPr>
        <w:pStyle w:val="ListParagraph"/>
        <w:numPr>
          <w:ilvl w:val="0"/>
          <w:numId w:val="2"/>
        </w:numPr>
        <w:spacing w:after="80" w:line="300"/>
      </w:pPr>
      <w:r>
        <w:rPr>
          <w:rFonts w:ascii="Arial" w:cs="Arial" w:eastAsia="Arial" w:hAnsi="Arial"/>
          <w:b/>
          <w:bCs/>
          <w:color w:val="CC0000"/>
          <w:sz w:val="22"/>
          <w:szCs w:val="22"/>
        </w:rPr>
        <w:t xml:space="preserve">Sarcopenia Models: </w:t>
      </w:r>
      <w:r>
        <w:rPr>
          <w:rFonts w:ascii="Arial" w:cs="Arial" w:eastAsia="Arial" w:hAnsi="Arial"/>
          <w:color w:val="000000"/>
          <w:sz w:val="22"/>
          <w:szCs w:val="22"/>
        </w:rPr>
        <w:t xml:space="preserve">Studied for potential to mitigate age-related loss of muscle mass and oxidative capacity in rodent models.</w:t>
      </w:r>
    </w:p>
    <w:p>
      <w:pPr>
        <w:pStyle w:val="ListParagraph"/>
        <w:numPr>
          <w:ilvl w:val="0"/>
          <w:numId w:val="2"/>
        </w:numPr>
        <w:spacing w:after="80" w:line="300"/>
      </w:pPr>
      <w:r>
        <w:rPr>
          <w:rFonts w:ascii="Arial" w:cs="Arial" w:eastAsia="Arial" w:hAnsi="Arial"/>
          <w:b/>
          <w:bCs/>
          <w:color w:val="CC0000"/>
          <w:sz w:val="22"/>
          <w:szCs w:val="22"/>
        </w:rPr>
        <w:t xml:space="preserve">Healthspan Markers: </w:t>
      </w:r>
      <w:r>
        <w:rPr>
          <w:rFonts w:ascii="Arial" w:cs="Arial" w:eastAsia="Arial" w:hAnsi="Arial"/>
          <w:color w:val="000000"/>
          <w:sz w:val="22"/>
          <w:szCs w:val="22"/>
        </w:rPr>
        <w:t xml:space="preserve">Exercise-mimetic effects of interest in healthspan, frailty, and immobilization research.</w:t>
      </w:r>
    </w:p>
    <w:p>
      <w:pPr>
        <w:pStyle w:val="Heading2"/>
      </w:pPr>
      <w:r>
        <w:rPr>
          <w:rFonts w:ascii="Arial" w:cs="Arial" w:eastAsia="Arial" w:hAnsi="Arial"/>
          <w:b/>
          <w:bCs/>
          <w:color w:val="CC0000"/>
          <w:sz w:val="28"/>
          <w:szCs w:val="28"/>
        </w:rPr>
        <w:t xml:space="preserve">Metabolic Health</w:t>
      </w:r>
    </w:p>
    <w:p>
      <w:pPr>
        <w:pStyle w:val="ListParagraph"/>
        <w:numPr>
          <w:ilvl w:val="0"/>
          <w:numId w:val="2"/>
        </w:numPr>
        <w:spacing w:after="80" w:line="300"/>
      </w:pPr>
      <w:r>
        <w:rPr>
          <w:rFonts w:ascii="Arial" w:cs="Arial" w:eastAsia="Arial" w:hAnsi="Arial"/>
          <w:b/>
          <w:bCs/>
          <w:color w:val="CC0000"/>
          <w:sz w:val="22"/>
          <w:szCs w:val="22"/>
        </w:rPr>
        <w:t xml:space="preserve">Sedentary Models: </w:t>
      </w:r>
      <w:r>
        <w:rPr>
          <w:rFonts w:ascii="Arial" w:cs="Arial" w:eastAsia="Arial" w:hAnsi="Arial"/>
          <w:color w:val="000000"/>
          <w:sz w:val="22"/>
          <w:szCs w:val="22"/>
        </w:rPr>
        <w:t xml:space="preserve">Preserves exercise-like benefits in models where physical activity is not feasible (immobilization, disability).</w:t>
      </w:r>
    </w:p>
    <w:p>
      <w:pPr>
        <w:pStyle w:val="ListParagraph"/>
        <w:numPr>
          <w:ilvl w:val="0"/>
          <w:numId w:val="2"/>
        </w:numPr>
        <w:spacing w:after="80" w:line="300"/>
      </w:pPr>
      <w:r>
        <w:rPr>
          <w:rFonts w:ascii="Arial" w:cs="Arial" w:eastAsia="Arial" w:hAnsi="Arial"/>
          <w:b/>
          <w:bCs/>
          <w:color w:val="CC0000"/>
          <w:sz w:val="22"/>
          <w:szCs w:val="22"/>
        </w:rPr>
        <w:t xml:space="preserve">Combination Studies: </w:t>
      </w:r>
      <w:r>
        <w:rPr>
          <w:rFonts w:ascii="Arial" w:cs="Arial" w:eastAsia="Arial" w:hAnsi="Arial"/>
          <w:color w:val="000000"/>
          <w:sz w:val="22"/>
          <w:szCs w:val="22"/>
        </w:rPr>
        <w:t xml:space="preserve">Used in research alongside other interventions to dissect ERR-driven contributions to metabolic adaptation.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SLU-PP-332 is for laboratory research use only and is not intended for human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Low / Introductory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100-250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Per Protocol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250-500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Per Protocol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Advanced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500-1000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Per Protocol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Preclinical Reference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25 mg/kg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IP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Mouse studies, IP injection</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2-5 mL BAC water per 5mg vial (yields 1-2.5 mg/mL)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invert until dissolved; protocols may also use DMSO/PEG for IP delivery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Per institutional protocol (commonly IP in rodent studies)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Per protocol; published studies typically dose once daily</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SLU-PP-332 has demonstrated a favorable safety profile in preclinical research:</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Well tolerated in rodent studies at therapeutic research doses (e.g., 25 mg/kg IP) over multi-week regimens.</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Local reactions possible with IP injection; rotate sites and use sterile technique.</w:t>
      </w:r>
    </w:p>
    <w:p>
      <w:pPr>
        <w:pStyle w:val="ListParagraph"/>
        <w:numPr>
          <w:ilvl w:val="0"/>
          <w:numId w:val="2"/>
        </w:numPr>
        <w:spacing w:after="80" w:line="300"/>
      </w:pPr>
      <w:r>
        <w:rPr>
          <w:rFonts w:ascii="Arial" w:cs="Arial" w:eastAsia="Arial" w:hAnsi="Arial"/>
          <w:b/>
          <w:bCs/>
          <w:color w:val="CC0000"/>
          <w:sz w:val="22"/>
          <w:szCs w:val="22"/>
        </w:rPr>
        <w:t xml:space="preserve">Cardiovascular: </w:t>
      </w:r>
      <w:r>
        <w:rPr>
          <w:rFonts w:ascii="Arial" w:cs="Arial" w:eastAsia="Arial" w:hAnsi="Arial"/>
          <w:color w:val="000000"/>
          <w:sz w:val="22"/>
          <w:szCs w:val="22"/>
        </w:rPr>
        <w:t xml:space="preserve">No significant cardiotoxicity reported at research doses; ERR signaling is broadly cardioprotective.</w:t>
      </w:r>
    </w:p>
    <w:p>
      <w:pPr>
        <w:pStyle w:val="ListParagraph"/>
        <w:numPr>
          <w:ilvl w:val="0"/>
          <w:numId w:val="2"/>
        </w:numPr>
        <w:spacing w:after="80" w:line="300"/>
      </w:pPr>
      <w:r>
        <w:rPr>
          <w:rFonts w:ascii="Arial" w:cs="Arial" w:eastAsia="Arial" w:hAnsi="Arial"/>
          <w:b/>
          <w:bCs/>
          <w:color w:val="CC0000"/>
          <w:sz w:val="22"/>
          <w:szCs w:val="22"/>
        </w:rPr>
        <w:t xml:space="preserve">Hepatic / Renal: </w:t>
      </w:r>
      <w:r>
        <w:rPr>
          <w:rFonts w:ascii="Arial" w:cs="Arial" w:eastAsia="Arial" w:hAnsi="Arial"/>
          <w:color w:val="000000"/>
          <w:sz w:val="22"/>
          <w:szCs w:val="22"/>
        </w:rPr>
        <w:t xml:space="preserve">No hepatotoxicity or nephrotoxicity reported at preclinical research doses.</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Limited interaction data; caution with other ERR-modulating compounds or PGC-1α-pathway agents.</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No human safety data; not for human consumption. SLU-PP-332 is supplied strictly for laboratory research use.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Billon C, Sitaula S, Banerjee S, et al. Synthetic ERRα/β/γ Agonist Induces an ERR/PGC1α Transcriptional Response Important for Energy Metabolism. bioRxiv. 2023.</w:t>
      </w:r>
    </w:p>
    <w:p>
      <w:pPr>
        <w:pStyle w:val="ListParagraph"/>
        <w:numPr>
          <w:ilvl w:val="0"/>
          <w:numId w:val="3"/>
        </w:numPr>
        <w:spacing w:after="80" w:line="300"/>
      </w:pPr>
      <w:r>
        <w:rPr>
          <w:rFonts w:ascii="Arial" w:cs="Arial" w:eastAsia="Arial" w:hAnsi="Arial"/>
          <w:color w:val="000000"/>
          <w:sz w:val="20"/>
          <w:szCs w:val="20"/>
        </w:rPr>
        <w:t xml:space="preserve">Xu W, Billon C, Wilderman A, et al. Pan-ERR Agonists Ameliorate Heart Failure through Enhancing Cardiac Fatty Acid Metabolism and Mitochondrial Function. Circulation Research. 2024.</w:t>
      </w:r>
    </w:p>
    <w:p>
      <w:pPr>
        <w:pStyle w:val="ListParagraph"/>
        <w:numPr>
          <w:ilvl w:val="0"/>
          <w:numId w:val="3"/>
        </w:numPr>
        <w:spacing w:after="80" w:line="300"/>
      </w:pPr>
      <w:r>
        <w:rPr>
          <w:rFonts w:ascii="Arial" w:cs="Arial" w:eastAsia="Arial" w:hAnsi="Arial"/>
          <w:color w:val="000000"/>
          <w:sz w:val="20"/>
          <w:szCs w:val="20"/>
        </w:rPr>
        <w:t xml:space="preserve">Banerjee S, Welch R, Pagano D, Burris TP. Therapeutic Implications of Estrogen-Related Receptor Agonism. Annual Review of Pharmacology and Toxicology. 2024.</w:t>
      </w:r>
    </w:p>
    <w:p>
      <w:pPr>
        <w:pStyle w:val="ListParagraph"/>
        <w:numPr>
          <w:ilvl w:val="0"/>
          <w:numId w:val="3"/>
        </w:numPr>
        <w:spacing w:after="80" w:line="300"/>
      </w:pPr>
      <w:r>
        <w:rPr>
          <w:rFonts w:ascii="Arial" w:cs="Arial" w:eastAsia="Arial" w:hAnsi="Arial"/>
          <w:color w:val="000000"/>
          <w:sz w:val="20"/>
          <w:szCs w:val="20"/>
        </w:rPr>
        <w:t xml:space="preserve">Eichner LJ, Giguère V. Estrogen-Related Receptors (ERRs): A New Dawn in Transcriptional Control of Mitochondrial Gene Networks. Mitochondrion. 2011;11(4):544-552.</w:t>
      </w:r>
    </w:p>
    <w:p>
      <w:pPr>
        <w:pStyle w:val="ListParagraph"/>
        <w:numPr>
          <w:ilvl w:val="0"/>
          <w:numId w:val="3"/>
        </w:numPr>
        <w:spacing w:after="80" w:line="300"/>
      </w:pPr>
      <w:r>
        <w:rPr>
          <w:rFonts w:ascii="Arial" w:cs="Arial" w:eastAsia="Arial" w:hAnsi="Arial"/>
          <w:color w:val="000000"/>
          <w:sz w:val="20"/>
          <w:szCs w:val="20"/>
        </w:rPr>
        <w:t xml:space="preserve">Audet-Walsh É, Giguère V. The Multiple Universes of Estrogen-Related Receptor α and γ in Metabolic Control and Related Diseases. Acta Pharmacologica Sinica. 2015;36(1):51-61.</w:t>
      </w:r>
    </w:p>
    <w:p>
      <w:pPr>
        <w:pStyle w:val="ListParagraph"/>
        <w:numPr>
          <w:ilvl w:val="0"/>
          <w:numId w:val="3"/>
        </w:numPr>
        <w:spacing w:after="80" w:line="300"/>
      </w:pPr>
      <w:r>
        <w:rPr>
          <w:rFonts w:ascii="Arial" w:cs="Arial" w:eastAsia="Arial" w:hAnsi="Arial"/>
          <w:color w:val="000000"/>
          <w:sz w:val="20"/>
          <w:szCs w:val="20"/>
        </w:rPr>
        <w:t xml:space="preserve">Wei W, Schwaid AG, Wang X, et al. Ligand Activation of ERRα by Cholesterol Mediates Statin and Bisphosphonate Effects. Cell Metabolism. 2016;23(3):479-491.</w:t>
      </w:r>
    </w:p>
    <w:p>
      <w:pPr>
        <w:pStyle w:val="ListParagraph"/>
        <w:numPr>
          <w:ilvl w:val="0"/>
          <w:numId w:val="3"/>
        </w:numPr>
        <w:spacing w:after="80" w:line="300"/>
      </w:pPr>
      <w:r>
        <w:rPr>
          <w:rFonts w:ascii="Arial" w:cs="Arial" w:eastAsia="Arial" w:hAnsi="Arial"/>
          <w:color w:val="000000"/>
          <w:sz w:val="20"/>
          <w:szCs w:val="20"/>
        </w:rPr>
        <w:t xml:space="preserve">Burris TP, Solt LA, Wang Y, et al. Nuclear Receptors and Their Selective Pharmacologic Modulators. Pharmacological Reviews. 2013;65(2):710-778.</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SLU-PP-332 is sold strictly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SLU-PP-332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SS-31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2026-03-28T14:22:25.812Z</dcterms:created>
  <dcterms:modified xsi:type="dcterms:W3CDTF">2026-03-28T14:22:25.812Z</dcterms:modified>
</cp:coreProperties>
</file>

<file path=docProps/custom.xml><?xml version="1.0" encoding="utf-8"?>
<Properties xmlns="http://schemas.openxmlformats.org/officeDocument/2006/custom-properties" xmlns:vt="http://schemas.openxmlformats.org/officeDocument/2006/docPropsVTypes"/>
</file>