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val="0"/>
          <w:color w:val="999999"/>
          <w:sz w:val="22"/>
        </w:rPr>
      </w:r>
    </w:p>
    <w:p>
      <w:pPr>
        <w:jc w:val="center"/>
      </w:pPr>
      <w:r>
        <w:rPr>
          <w:rFonts w:ascii="Arial" w:hAnsi="Arial"/>
          <w:b w:val="0"/>
          <w:color w:val="999999"/>
          <w:sz w:val="22"/>
        </w:rPr>
        <w:t>PEPTIDE RESEARCH BRIEF</w:t>
      </w:r>
    </w:p>
    <w:p>
      <w:pPr>
        <w:jc w:val="center"/>
      </w:pPr>
      <w:r>
        <w:rPr>
          <w:rFonts w:ascii="Arial" w:hAnsi="Arial"/>
          <w:b/>
          <w:color w:val="CC0000"/>
          <w:sz w:val="64"/>
        </w:rPr>
        <w:t>Tesa + Ipa Mix</w:t>
      </w:r>
    </w:p>
    <w:p>
      <w:pPr>
        <w:jc w:val="center"/>
      </w:pPr>
      <w:r>
        <w:rPr>
          <w:rFonts w:ascii="Arial" w:hAnsi="Arial"/>
          <w:b w:val="0"/>
          <w:color w:val="555555"/>
          <w:sz w:val="22"/>
        </w:rPr>
        <w:t>GHRH Analog + Selective GHRP Blend | 13mg Tesamorelin / 3mg Ipamorelin</w:t>
      </w:r>
    </w:p>
    <w:p>
      <w:pPr>
        <w:jc w:val="center"/>
      </w:pPr>
      <w:r>
        <w:rPr>
          <w:rFonts w:ascii="Arial" w:hAnsi="Arial"/>
          <w:b w:val="0"/>
          <w:color w:val="999999"/>
          <w:sz w:val="22"/>
        </w:rPr>
      </w:r>
    </w:p>
    <w:p>
      <w:pPr>
        <w:jc w:val="center"/>
      </w:pPr>
      <w:r>
        <w:rPr>
          <w:rFonts w:ascii="Arial" w:hAnsi="Arial"/>
          <w:b w:val="0"/>
          <w:color w:val="333333"/>
          <w:sz w:val="24"/>
        </w:rPr>
        <w:t>Description, Benefits, Dosage &amp; Research Overview</w:t>
      </w:r>
    </w:p>
    <w:p>
      <w:pPr>
        <w:jc w:val="center"/>
      </w:pPr>
      <w:r>
        <w:rPr>
          <w:rFonts w:ascii="Arial" w:hAnsi="Arial"/>
          <w:b w:val="0"/>
          <w:color w:val="999999"/>
          <w:sz w:val="22"/>
        </w:rPr>
      </w:r>
    </w:p>
    <w:p>
      <w:pPr>
        <w:jc w:val="center"/>
      </w:pPr>
      <w:r>
        <w:rPr>
          <w:rFonts w:ascii="Arial" w:hAnsi="Arial"/>
          <w:b/>
          <w:color w:val="CC0000"/>
          <w:sz w:val="26"/>
        </w:rPr>
        <w:t>Iron Cell Research</w:t>
      </w:r>
    </w:p>
    <w:p>
      <w:pPr>
        <w:jc w:val="center"/>
      </w:pPr>
      <w:r>
        <w:rPr>
          <w:rFonts w:ascii="Arial" w:hAnsi="Arial"/>
          <w:b w:val="0"/>
          <w:color w:val="333333"/>
          <w:sz w:val="22"/>
        </w:rPr>
        <w:t>IronCellResearch.com</w:t>
      </w:r>
    </w:p>
    <w:p>
      <w:pPr>
        <w:jc w:val="center"/>
      </w:pPr>
      <w:r>
        <w:rPr>
          <w:rFonts w:ascii="Arial" w:hAnsi="Arial"/>
          <w:b w:val="0"/>
          <w:color w:val="999999"/>
          <w:sz w:val="22"/>
        </w:rPr>
        <w:t>For Research Use Only</w:t>
      </w:r>
    </w:p>
    <w:p>
      <w:pPr>
        <w:jc w:val="center"/>
      </w:pPr>
      <w:r>
        <w:rPr>
          <w:rFonts w:ascii="Arial" w:hAnsi="Arial"/>
          <w:b w:val="0"/>
          <w:color w:val="999999"/>
          <w:sz w:val="22"/>
        </w:rPr>
      </w:r>
    </w:p>
    <w:p>
      <w:pPr>
        <w:pStyle w:val="Heading1"/>
      </w:pPr>
      <w:r>
        <w:t>Compound Overview</w:t>
      </w:r>
    </w:p>
    <w:p>
      <w:pPr>
        <w:pStyle w:val="Heading1"/>
      </w:pPr>
      <w:r>
        <w:t>Description</w:t>
      </w:r>
    </w:p>
    <w:p>
      <w:r>
        <w:t>Tesamorelin + Ipamorelin Blend combines two complementary growth-hormone secretagogues in a single lyophilized vial: 13mg of Tesamorelin, a synthetic stabilized analog of growth-hormone-releasing hormone (GHRH), with 3mg of Ipamorelin, a selective pentapeptide growth-hormone-releasing peptide (GHRP) and ghrelin receptor agonist.</w:t>
      </w:r>
    </w:p>
    <w:p>
      <w:r>
        <w:t>The two compounds engage the GH axis through different but synergistic mechanisms: Tesamorelin binds the GHRH receptor on pituitary somatotrophs to drive endogenous GH release, while Ipamorelin binds the growth-hormone secretagogue receptor (GHSR-1a, the ghrelin receptor) to amplify and prolong that release. Combined-use research suggests pulsatile GH release that more closely approximates the natural diurnal pattern than either compound alone.</w:t>
      </w:r>
    </w:p>
    <w:p>
      <w:r>
        <w:t>Supplied as a co-lyophilized blend (13mg Tesamorelin / 3mg Ipamorelin) for in vitro and in vivo research applications only. Not for human consumption.</w:t>
      </w:r>
    </w:p>
    <w:p>
      <w:pPr>
        <w:pStyle w:val="Heading1"/>
      </w:pPr>
      <w:r>
        <w:t>Mechanism of Action</w:t>
      </w:r>
    </w:p>
    <w:p>
      <w:pPr>
        <w:pStyle w:val="Heading2"/>
      </w:pPr>
      <w:r>
        <w:t>GHRH-Receptor Activation (Tesamorelin)</w:t>
      </w:r>
    </w:p>
    <w:p>
      <w:r>
        <w:t>Tesamorelin is a 44-amino-acid stabilized analog of human GHRH(1-44), with an N-terminal trans-3-hexenoyl modification that resists enzymatic degradation and prolongs plasma half-life relative to native GHRH. It binds the GHRH receptor on anterior pituitary somatotrophs, triggering pulsatile release of endogenous growth hormone with subsequent rise in hepatic and peripheral IGF-1.</w:t>
      </w:r>
    </w:p>
    <w:p>
      <w:pPr>
        <w:pStyle w:val="Heading2"/>
      </w:pPr>
      <w:r>
        <w:t>Ghrelin-Receptor Activation (Ipamorelin)</w:t>
      </w:r>
    </w:p>
    <w:p>
      <w:r>
        <w:t>Ipamorelin (Aib-His-D-2-Nal-D-Phe-Lys-NH2) is a selective ghrelin/GHSR-1a receptor agonist. Unlike older GHRPs (GHRP-2, GHRP-6), Ipamorelin does not meaningfully stimulate cortisol, prolactin, or appetite at standard research doses, making it the cleanest of the GHRPs from a side-effect-isolation perspective.</w:t>
      </w:r>
    </w:p>
    <w:p>
      <w:pPr>
        <w:pStyle w:val="Heading2"/>
      </w:pPr>
      <w:r>
        <w:t>Synergistic Pulsatile GH Release</w:t>
      </w:r>
    </w:p>
    <w:p>
      <w:r>
        <w:t>Co-administration of a GHRH analog with a GHRP produces a GH response substantially larger than either compound alone — typically additive to supra-additive in research studies. This stems from their distinct receptor pathways and from Ipamorelin's capacity to suppress somatostatin tone while Tesamorelin drives release, opening a wider GH-release window.</w:t>
      </w:r>
    </w:p>
    <w:p>
      <w:pPr>
        <w:pStyle w:val="Heading2"/>
      </w:pPr>
      <w:r>
        <w:t>Downstream IGF-1 &amp; Tissue Effects</w:t>
      </w:r>
    </w:p>
    <w:p>
      <w:r>
        <w:t>Elevated GH pulses drive hepatic IGF-1 production, which in turn mediates many of the systemic effects studied in growth-hormone research: protein synthesis, fatty acid mobilization, glucose handling, and connective tissue support. Tesamorelin in particular has well-documented effects on visceral adipose tissue reduction in clinical studies of HIV-associated lipodystrophy.</w:t>
      </w:r>
    </w:p>
    <w:p>
      <w:pPr>
        <w:pStyle w:val="Heading1"/>
      </w:pPr>
      <w:r>
        <w:t>Research Benefits</w:t>
      </w:r>
    </w:p>
    <w:p>
      <w:pPr>
        <w:pStyle w:val="Heading2"/>
      </w:pPr>
      <w:r>
        <w:t>Body Composition Research</w:t>
      </w:r>
    </w:p>
    <w:p>
      <w:pPr>
        <w:pStyle w:val="ListParagraph"/>
      </w:pPr>
      <w:r>
        <w:t>Visceral Fat: Tesamorelin has documented research effects on reduction of visceral adipose tissue in lipodystrophy populations.</w:t>
      </w:r>
    </w:p>
    <w:p>
      <w:pPr>
        <w:pStyle w:val="ListParagraph"/>
      </w:pPr>
      <w:r>
        <w:t>Lean Mass: GH/IGF-1 axis activation is studied for support of lean tissue accrual under appropriate training and nutrition protocols.</w:t>
      </w:r>
    </w:p>
    <w:p>
      <w:pPr>
        <w:pStyle w:val="ListParagraph"/>
      </w:pPr>
      <w:r>
        <w:t>Lipolysis: Studied for enhanced fatty acid mobilization and improved lipid utilization markers.</w:t>
      </w:r>
    </w:p>
    <w:p>
      <w:pPr>
        <w:pStyle w:val="Heading2"/>
      </w:pPr>
      <w:r>
        <w:t>Recovery &amp; Tissue Research</w:t>
      </w:r>
    </w:p>
    <w:p>
      <w:pPr>
        <w:pStyle w:val="ListParagraph"/>
      </w:pPr>
      <w:r>
        <w:t>Connective Tissue: IGF-1 signaling supports collagen synthesis and is studied in tendon, ligament, and joint-recovery research models.</w:t>
      </w:r>
    </w:p>
    <w:p>
      <w:pPr>
        <w:pStyle w:val="ListParagraph"/>
      </w:pPr>
      <w:r>
        <w:t>Wound &amp; Tissue Repair: GH-axis activation is investigated in tissue repair and post-stress recovery research.</w:t>
      </w:r>
    </w:p>
    <w:p>
      <w:pPr>
        <w:pStyle w:val="ListParagraph"/>
      </w:pPr>
      <w:r>
        <w:t>Bone Markers: Long-term GH/IGF-1 elevation is investigated for support of bone turnover and density markers.</w:t>
      </w:r>
    </w:p>
    <w:p>
      <w:pPr>
        <w:pStyle w:val="Heading2"/>
      </w:pPr>
      <w:r>
        <w:t>Sleep &amp; Restoration Research</w:t>
      </w:r>
    </w:p>
    <w:p>
      <w:pPr>
        <w:pStyle w:val="ListParagraph"/>
      </w:pPr>
      <w:r>
        <w:t>Slow-Wave Sleep: GH release is naturally coupled to deep sleep; GHRH activation is studied for support of slow-wave sleep architecture.</w:t>
      </w:r>
    </w:p>
    <w:p>
      <w:pPr>
        <w:pStyle w:val="ListParagraph"/>
      </w:pPr>
      <w:r>
        <w:t>Recovery Markers: Investigated alongside training-recovery protocols where overnight GH pulse magnitude is the research variable.</w:t>
      </w:r>
    </w:p>
    <w:p>
      <w:pPr>
        <w:pStyle w:val="ListParagraph"/>
      </w:pPr>
      <w:r>
        <w:t>Restorative Cycles: Explored in aged research models where GH amplitude has declined.</w:t>
      </w:r>
    </w:p>
    <w:p>
      <w:pPr>
        <w:pStyle w:val="Heading2"/>
      </w:pPr>
      <w:r>
        <w:t>Metabolic &amp; Aging Research</w:t>
      </w:r>
    </w:p>
    <w:p>
      <w:pPr>
        <w:pStyle w:val="ListParagraph"/>
      </w:pPr>
      <w:r>
        <w:t>IGF-1 Restoration: Studied in aged research cohorts where age-related GH/IGF-1 decline is the primary variable.</w:t>
      </w:r>
    </w:p>
    <w:p>
      <w:pPr>
        <w:pStyle w:val="ListParagraph"/>
      </w:pPr>
      <w:r>
        <w:t>Glucose &amp; Lipid Markers: GH-axis effects on insulin sensitivity and lipid profiles are investigated; protocols benefit from baseline metabolic characterization.</w:t>
      </w:r>
    </w:p>
    <w:p>
      <w:pPr>
        <w:pStyle w:val="ListParagraph"/>
      </w:pPr>
      <w:r>
        <w:t>Cognitive Function: GH/IGF-1 influence on brain perfusion and neurogenesis is an active area of aging-research interest.</w:t>
      </w:r>
    </w:p>
    <w:p>
      <w:pPr>
        <w:pStyle w:val="Heading1"/>
      </w:pPr>
      <w:r>
        <w:t>Dosage &amp; Administration</w:t>
      </w:r>
    </w:p>
    <w:p>
      <w:r>
        <w:t>The following dosage information is provided for research reference purposes only. The blend is typically reconstituted with bacteriostatic water and administered by subcutaneous injection in research settings, most commonly in the evening or pre-rest to align with natural overnight GH pulsing.</w:t>
      </w:r>
    </w:p>
    <w:p>
      <w:r>
        <w:t>Standard research dosing is based on the Tesamorelin component, with the Ipamorelin component scaling proportionally (3mg Ipa per 13mg Tesa). A typical research administration delivers 200–400mcg of Tesamorelin (approximately 46–92mcg of Ipamorelin) per dose, once daily, 5 days on / 2 days off.</w:t>
      </w:r>
    </w:p>
    <w:p>
      <w:pPr>
        <w:pStyle w:val="Heading2"/>
      </w:pPr>
      <w:r>
        <w:t>Reconstitution Guidelines</w:t>
      </w:r>
    </w:p>
    <w:p>
      <w:r>
        <w:t>A 16mg blend vial (13mg Tesa + 3mg Ipa) reconstituted with 2mL of bacteriostatic water yields 6.5mg Tesa per mL and 1.5mg Ipa per mL. A 0.05mL (5 unit on a U100 syringe) draw delivers approximately 325mcg Tesa and 75mcg Ipa. Adjust water volume to suit the syringe and the per-dose target. Protect from light and refrigerate after reconstitution.</w:t>
      </w:r>
    </w:p>
    <w:p>
      <w:pPr>
        <w:pStyle w:val="Heading1"/>
      </w:pPr>
      <w:r>
        <w:t>Safety Profile</w:t>
      </w:r>
    </w:p>
    <w:p>
      <w:r>
        <w:t>Both compounds in this blend have well-characterized safety profiles when used at standard research doses:</w:t>
      </w:r>
    </w:p>
    <w:p>
      <w:pPr>
        <w:pStyle w:val="ListParagraph"/>
      </w:pPr>
      <w:r>
        <w:t>General Tolerability: Reported as well tolerated; the most common observations are mild injection-site reactions and transient flushing.</w:t>
      </w:r>
    </w:p>
    <w:p>
      <w:pPr>
        <w:pStyle w:val="ListParagraph"/>
      </w:pPr>
      <w:r>
        <w:t>Glucose Handling: GH-axis activation can transiently raise fasting glucose and reduce insulin sensitivity; protocols in diabetic or pre-diabetic research models should include glycemic monitoring.</w:t>
      </w:r>
    </w:p>
    <w:p>
      <w:pPr>
        <w:pStyle w:val="ListParagraph"/>
      </w:pPr>
      <w:r>
        <w:t>Fluid Retention: Mild peripheral edema is occasionally reported with sustained GH elevation; typically dose-dependent.</w:t>
      </w:r>
    </w:p>
    <w:p>
      <w:pPr>
        <w:pStyle w:val="ListParagraph"/>
      </w:pPr>
      <w:r>
        <w:t>Carpal Tunnel-Like Symptoms: Higher GH/IGF-1 protocols have been associated with transient numbness or paresthesias in some clinical reports.</w:t>
      </w:r>
    </w:p>
    <w:p>
      <w:pPr>
        <w:pStyle w:val="ListParagraph"/>
      </w:pPr>
      <w:r>
        <w:t>Cortisol &amp; Prolactin: Ipamorelin's selectivity means minimal cortisol or prolactin elevation; Tesamorelin alone does not appreciably elevate either.</w:t>
      </w:r>
    </w:p>
    <w:p>
      <w:pPr>
        <w:pStyle w:val="ListParagraph"/>
      </w:pPr>
      <w:r>
        <w:t>Cancer Caution: GH/IGF-1 stimulation is approached cautiously in protocols involving active or recent malignancy.</w:t>
      </w:r>
    </w:p>
    <w:p>
      <w:pPr>
        <w:pStyle w:val="ListParagraph"/>
      </w:pPr>
      <w:r>
        <w:t>Pregnancy &amp; Nursing: Insufficient safety data; not recommended in pregnancy or lactation.</w:t>
      </w:r>
    </w:p>
    <w:p>
      <w:pPr>
        <w:pStyle w:val="Heading1"/>
      </w:pPr>
      <w:r>
        <w:t>Key References</w:t>
      </w:r>
    </w:p>
    <w:p>
      <w:pPr>
        <w:pStyle w:val="ListParagraph"/>
      </w:pPr>
      <w:r>
        <w:t>Falutz J, et al. Effects of Tesamorelin (TH9507), a Growth Hormone-Releasing Factor Analog, in HIV-Infected Patients with Excess Abdominal Fat. New England Journal of Medicine. 2007;357(23):2359-2370.</w:t>
      </w:r>
    </w:p>
    <w:p>
      <w:pPr>
        <w:pStyle w:val="ListParagraph"/>
      </w:pPr>
      <w:r>
        <w:t>Stanley TL, Grinspoon SK. Effects of Growth Hormone-Releasing Hormone on Visceral Fat, Metabolic, and Cardiovascular Indices in Human Studies. Growth Hormone &amp; IGF Research. 2015;25(2):59-65.</w:t>
      </w:r>
    </w:p>
    <w:p>
      <w:pPr>
        <w:pStyle w:val="ListParagraph"/>
      </w:pPr>
      <w:r>
        <w:t>Raun K, et al. Ipamorelin, the First Selective Growth Hormone Secretagogue. European Journal of Endocrinology. 1998;139(5):552-561.</w:t>
      </w:r>
    </w:p>
    <w:p>
      <w:pPr>
        <w:pStyle w:val="ListParagraph"/>
      </w:pPr>
      <w:r>
        <w:t>Sigalos JT, Pastuszak AW. The Safety and Efficacy of Growth Hormone Secretagogues. Sexual Medicine Reviews. 2018;6(1):45-53.</w:t>
      </w:r>
    </w:p>
    <w:p>
      <w:pPr>
        <w:pStyle w:val="ListParagraph"/>
      </w:pPr>
      <w:r>
        <w:t>Bowers CY. GH Releasing Peptides — Structure and Kinetics. Journal of Pediatric Endocrinology. 1993;6(1):21-31.</w:t>
      </w:r>
    </w:p>
    <w:p>
      <w:pPr>
        <w:pStyle w:val="ListParagraph"/>
      </w:pPr>
      <w:r>
        <w:t>Smith RG, et al. Peptidomimetic Regulation of Growth Hormone Secretion. Endocrine Reviews. 1997;18(5):621-645.</w:t>
      </w:r>
    </w:p>
    <w:p>
      <w:pPr>
        <w:pStyle w:val="ListParagraph"/>
      </w:pPr>
      <w:r>
        <w:t>Veldhuis JD, Bowers CY. Integrating GHS into the Ghrelin System. International Journal of Peptides. 2010;2010:879503.</w:t>
      </w:r>
    </w:p>
    <w:p>
      <w:pPr>
        <w:pStyle w:val="Heading1"/>
      </w:pPr>
      <w:r>
        <w:t>Contact &amp; Information</w:t>
      </w:r>
    </w:p>
    <w:p>
      <w:r>
        <w:t>Iron Cell Research | IronCellResearch.com — For research inquiries, certificates of analysis, or product information, contact our research support team. All products are sold strictly for laboratory research use only.</w:t>
      </w:r>
    </w:p>
    <w:p>
      <w:pPr>
        <w:pStyle w:val="Heading1"/>
      </w:pPr>
      <w:r>
        <w:t>Disclaimer</w:t>
      </w:r>
    </w:p>
    <w:p>
      <w:r>
        <w:t>This document is intended for informational and research purposes only. The Tesamorelin + Ipamorelin blend is sold as a research compound and is not intended for human consumption, diagnosis, treatment, or prevention of any disease. The information provided does not constitute medical advice. All research with this compound should be conducted by qualified researchers in appropriate laboratory settings and in compliance with applicable laws and institutional guidelines.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