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Tirzepatide</w:t>
      </w:r>
    </w:p>
    <w:p>
      <w:pPr>
        <w:pBdr>
          <w:bottom w:val="single" w:color="CC0000" w:sz="6" w:space="8"/>
        </w:pBdr>
        <w:spacing w:after="100"/>
        <w:jc w:val="center"/>
      </w:pPr>
      <w:r>
        <w:rPr>
          <w:rFonts w:ascii="Arial" w:cs="Arial" w:eastAsia="Arial" w:hAnsi="Arial"/>
          <w:color w:val="555555"/>
          <w:sz w:val="22"/>
          <w:szCs w:val="22"/>
        </w:rPr>
        <w:t xml:space="preserve">Dual GLP-1/GIP Receptor Agonist | FDA-Approved Incretin Therapy</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Tirzepatide (Mounjaro / Zepbound)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Dual GLP-1/GIP Receptor Agonist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C225H348N48O68</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4813.45 g/mol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2023788-19-2</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Approximately 5 days (supports weekly dosing)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FDA Approval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May 2022 (T2DM), November 2023 (Obesity)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Refrigerated 2-8C,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FDA-approved; SURPASS &amp; SURMOUNT Phase 3 programs</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Tirzepatide is a first-in-class dual GIP and GLP-1 receptor agonist developed by Eli Lilly. It is based on a modified 39-amino acid GIP sequence engineered to also activate GLP-1 receptors. FDA-approved as Mounjaro for type 2 diabetes (2022) and Zepbound for weight management (2023).</w:t>
      </w:r>
    </w:p>
    <w:p>
      <w:pPr>
        <w:spacing w:after="160" w:line="300"/>
      </w:pPr>
      <w:r>
        <w:rPr>
          <w:rFonts w:ascii="Arial" w:cs="Arial" w:eastAsia="Arial" w:hAnsi="Arial"/>
          <w:color w:val="000000"/>
          <w:sz w:val="22"/>
          <w:szCs w:val="22"/>
        </w:rPr>
        <w:t xml:space="preserve">The SURPASS clinical trial program demonstrated superior glycemic control versus comparators in type 2 diabetes, while the SURMOUNT program showed weight loss of up to 22.5% in the landmark SURMOUNT-1 trial at 72 weeks.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GIP Receptor Agonism (Primary Activity)</w:t>
      </w:r>
    </w:p>
    <w:p>
      <w:pPr>
        <w:spacing w:after="160" w:line="300"/>
      </w:pPr>
      <w:r>
        <w:rPr>
          <w:rFonts w:ascii="Arial" w:cs="Arial" w:eastAsia="Arial" w:hAnsi="Arial"/>
          <w:color w:val="000000"/>
          <w:sz w:val="22"/>
          <w:szCs w:val="22"/>
        </w:rPr>
        <w:t xml:space="preserve">Tirzepatide potentiates glucose-dependent insulin secretion through GIP receptor activation, improves adipose tissue function and lipid buffering capacity, and provides potentially protective effects on pancreatic beta-cell function and survival.</w:t>
      </w:r>
    </w:p>
    <w:p>
      <w:pPr>
        <w:pStyle w:val="Heading2"/>
      </w:pPr>
      <w:r>
        <w:rPr>
          <w:rFonts w:ascii="Arial" w:cs="Arial" w:eastAsia="Arial" w:hAnsi="Arial"/>
          <w:b/>
          <w:bCs/>
          <w:color w:val="CC0000"/>
          <w:sz w:val="28"/>
          <w:szCs w:val="28"/>
        </w:rPr>
        <w:t xml:space="preserve">GLP-1 Receptor Agonism</w:t>
      </w:r>
    </w:p>
    <w:p>
      <w:pPr>
        <w:spacing w:after="160" w:line="300"/>
      </w:pPr>
      <w:r>
        <w:rPr>
          <w:rFonts w:ascii="Arial" w:cs="Arial" w:eastAsia="Arial" w:hAnsi="Arial"/>
          <w:color w:val="000000"/>
          <w:sz w:val="22"/>
          <w:szCs w:val="22"/>
        </w:rPr>
        <w:t xml:space="preserve">GLP-1 receptor activation contributes glucose-dependent insulin secretion, glucagon suppression during hyperglycemia, appetite suppression through hypothalamic signaling, and delayed gastric emptying to reduce postprandial glucose excursions.</w:t>
      </w:r>
    </w:p>
    <w:p>
      <w:pPr>
        <w:pStyle w:val="Heading2"/>
      </w:pPr>
      <w:r>
        <w:rPr>
          <w:rFonts w:ascii="Arial" w:cs="Arial" w:eastAsia="Arial" w:hAnsi="Arial"/>
          <w:b/>
          <w:bCs/>
          <w:color w:val="CC0000"/>
          <w:sz w:val="28"/>
          <w:szCs w:val="28"/>
        </w:rPr>
        <w:t xml:space="preserve">Dual Incretin Synergy</w:t>
      </w:r>
    </w:p>
    <w:p>
      <w:pPr>
        <w:spacing w:after="160" w:line="300"/>
      </w:pPr>
      <w:r>
        <w:rPr>
          <w:rFonts w:ascii="Arial" w:cs="Arial" w:eastAsia="Arial" w:hAnsi="Arial"/>
          <w:color w:val="000000"/>
          <w:sz w:val="22"/>
          <w:szCs w:val="22"/>
        </w:rPr>
        <w:t xml:space="preserve">The combination of GIP and GLP-1 receptor agonism provides complementary insulin secretion pathways, enhanced weight loss compared to GLP-1 agonism alone, and improved overall glucose homeostasis through dual incretin signaling.</w:t>
      </w:r>
    </w:p>
    <w:p>
      <w:pPr>
        <w:pStyle w:val="Heading2"/>
      </w:pPr>
      <w:r>
        <w:rPr>
          <w:rFonts w:ascii="Arial" w:cs="Arial" w:eastAsia="Arial" w:hAnsi="Arial"/>
          <w:b/>
          <w:bCs/>
          <w:color w:val="CC0000"/>
          <w:sz w:val="28"/>
          <w:szCs w:val="28"/>
        </w:rPr>
        <w:t xml:space="preserve">Adipose Tissue Remodeling</w:t>
      </w:r>
    </w:p>
    <w:p>
      <w:pPr>
        <w:spacing w:after="160" w:line="300"/>
      </w:pPr>
      <w:r>
        <w:rPr>
          <w:rFonts w:ascii="Arial" w:cs="Arial" w:eastAsia="Arial" w:hAnsi="Arial"/>
          <w:color w:val="000000"/>
          <w:sz w:val="22"/>
          <w:szCs w:val="22"/>
        </w:rPr>
        <w:t xml:space="preserve">Tirzepatide improves adipocyte insulin sensitivity, enhances subcutaneous fat lipid storage capacity, reduces ectopic fat deposition in liver and visceral compartments, and may promote browning of white adipose tissue for enhanced thermogenesis.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Glycemic Control</w:t>
      </w:r>
    </w:p>
    <w:p>
      <w:pPr>
        <w:pStyle w:val="ListParagraph"/>
        <w:numPr>
          <w:ilvl w:val="0"/>
          <w:numId w:val="2"/>
        </w:numPr>
        <w:spacing w:after="80" w:line="300"/>
      </w:pPr>
      <w:r>
        <w:rPr>
          <w:rFonts w:ascii="Arial" w:cs="Arial" w:eastAsia="Arial" w:hAnsi="Arial"/>
          <w:b/>
          <w:bCs/>
          <w:color w:val="CC0000"/>
          <w:sz w:val="22"/>
          <w:szCs w:val="22"/>
        </w:rPr>
        <w:t xml:space="preserve">HbA1c Reduction: </w:t>
      </w:r>
      <w:r>
        <w:rPr>
          <w:rFonts w:ascii="Arial" w:cs="Arial" w:eastAsia="Arial" w:hAnsi="Arial"/>
          <w:color w:val="000000"/>
          <w:sz w:val="22"/>
          <w:szCs w:val="22"/>
        </w:rPr>
        <w:t xml:space="preserve">Up to 2.58% reduction demonstrated in the SURPASS-2 trial, superior to semaglutide 1 mg.</w:t>
      </w:r>
    </w:p>
    <w:p>
      <w:pPr>
        <w:pStyle w:val="ListParagraph"/>
        <w:numPr>
          <w:ilvl w:val="0"/>
          <w:numId w:val="2"/>
        </w:numPr>
        <w:spacing w:after="80" w:line="300"/>
      </w:pPr>
      <w:r>
        <w:rPr>
          <w:rFonts w:ascii="Arial" w:cs="Arial" w:eastAsia="Arial" w:hAnsi="Arial"/>
          <w:b/>
          <w:bCs/>
          <w:color w:val="CC0000"/>
          <w:sz w:val="22"/>
          <w:szCs w:val="22"/>
        </w:rPr>
        <w:t xml:space="preserve">Fasting Glucose: </w:t>
      </w:r>
      <w:r>
        <w:rPr>
          <w:rFonts w:ascii="Arial" w:cs="Arial" w:eastAsia="Arial" w:hAnsi="Arial"/>
          <w:color w:val="000000"/>
          <w:sz w:val="22"/>
          <w:szCs w:val="22"/>
        </w:rPr>
        <w:t xml:space="preserve">Significant improvement in fasting plasma glucose levels.</w:t>
      </w:r>
    </w:p>
    <w:p>
      <w:pPr>
        <w:pStyle w:val="ListParagraph"/>
        <w:numPr>
          <w:ilvl w:val="0"/>
          <w:numId w:val="2"/>
        </w:numPr>
        <w:spacing w:after="80" w:line="300"/>
      </w:pPr>
      <w:r>
        <w:rPr>
          <w:rFonts w:ascii="Arial" w:cs="Arial" w:eastAsia="Arial" w:hAnsi="Arial"/>
          <w:b/>
          <w:bCs/>
          <w:color w:val="CC0000"/>
          <w:sz w:val="22"/>
          <w:szCs w:val="22"/>
        </w:rPr>
        <w:t xml:space="preserve">Glycemic Variability: </w:t>
      </w:r>
      <w:r>
        <w:rPr>
          <w:rFonts w:ascii="Arial" w:cs="Arial" w:eastAsia="Arial" w:hAnsi="Arial"/>
          <w:color w:val="000000"/>
          <w:sz w:val="22"/>
          <w:szCs w:val="22"/>
        </w:rPr>
        <w:t xml:space="preserve">Reduced glucose fluctuations throughout the day.</w:t>
      </w:r>
    </w:p>
    <w:p>
      <w:pPr>
        <w:pStyle w:val="Heading2"/>
      </w:pPr>
      <w:r>
        <w:rPr>
          <w:rFonts w:ascii="Arial" w:cs="Arial" w:eastAsia="Arial" w:hAnsi="Arial"/>
          <w:b/>
          <w:bCs/>
          <w:color w:val="CC0000"/>
          <w:sz w:val="28"/>
          <w:szCs w:val="28"/>
        </w:rPr>
        <w:t xml:space="preserve">Weight Loss</w:t>
      </w:r>
    </w:p>
    <w:p>
      <w:pPr>
        <w:pStyle w:val="ListParagraph"/>
        <w:numPr>
          <w:ilvl w:val="0"/>
          <w:numId w:val="2"/>
        </w:numPr>
        <w:spacing w:after="80" w:line="300"/>
      </w:pPr>
      <w:r>
        <w:rPr>
          <w:rFonts w:ascii="Arial" w:cs="Arial" w:eastAsia="Arial" w:hAnsi="Arial"/>
          <w:b/>
          <w:bCs/>
          <w:color w:val="CC0000"/>
          <w:sz w:val="22"/>
          <w:szCs w:val="22"/>
        </w:rPr>
        <w:t xml:space="preserve">Efficacy: </w:t>
      </w:r>
      <w:r>
        <w:rPr>
          <w:rFonts w:ascii="Arial" w:cs="Arial" w:eastAsia="Arial" w:hAnsi="Arial"/>
          <w:color w:val="000000"/>
          <w:sz w:val="22"/>
          <w:szCs w:val="22"/>
        </w:rPr>
        <w:t xml:space="preserve">Up to 22.5% body weight loss in SURMOUNT-1 at 72 weeks.</w:t>
      </w:r>
    </w:p>
    <w:p>
      <w:pPr>
        <w:pStyle w:val="ListParagraph"/>
        <w:numPr>
          <w:ilvl w:val="0"/>
          <w:numId w:val="2"/>
        </w:numPr>
        <w:spacing w:after="80" w:line="300"/>
      </w:pPr>
      <w:r>
        <w:rPr>
          <w:rFonts w:ascii="Arial" w:cs="Arial" w:eastAsia="Arial" w:hAnsi="Arial"/>
          <w:b/>
          <w:bCs/>
          <w:color w:val="CC0000"/>
          <w:sz w:val="22"/>
          <w:szCs w:val="22"/>
        </w:rPr>
        <w:t xml:space="preserve">Dose-Dependent: </w:t>
      </w:r>
      <w:r>
        <w:rPr>
          <w:rFonts w:ascii="Arial" w:cs="Arial" w:eastAsia="Arial" w:hAnsi="Arial"/>
          <w:color w:val="000000"/>
          <w:sz w:val="22"/>
          <w:szCs w:val="22"/>
        </w:rPr>
        <w:t xml:space="preserve">Clear dose-response relationship with predictable weight reduction trajectory.</w:t>
      </w:r>
    </w:p>
    <w:p>
      <w:pPr>
        <w:pStyle w:val="ListParagraph"/>
        <w:numPr>
          <w:ilvl w:val="0"/>
          <w:numId w:val="2"/>
        </w:numPr>
        <w:spacing w:after="80" w:line="300"/>
      </w:pPr>
      <w:r>
        <w:rPr>
          <w:rFonts w:ascii="Arial" w:cs="Arial" w:eastAsia="Arial" w:hAnsi="Arial"/>
          <w:b/>
          <w:bCs/>
          <w:color w:val="CC0000"/>
          <w:sz w:val="22"/>
          <w:szCs w:val="22"/>
        </w:rPr>
        <w:t xml:space="preserve">Sustained Effects: </w:t>
      </w:r>
      <w:r>
        <w:rPr>
          <w:rFonts w:ascii="Arial" w:cs="Arial" w:eastAsia="Arial" w:hAnsi="Arial"/>
          <w:color w:val="000000"/>
          <w:sz w:val="22"/>
          <w:szCs w:val="22"/>
        </w:rPr>
        <w:t xml:space="preserve">Weight loss maintained throughout the treatment period.</w:t>
      </w:r>
    </w:p>
    <w:p>
      <w:pPr>
        <w:pStyle w:val="Heading2"/>
      </w:pPr>
      <w:r>
        <w:rPr>
          <w:rFonts w:ascii="Arial" w:cs="Arial" w:eastAsia="Arial" w:hAnsi="Arial"/>
          <w:b/>
          <w:bCs/>
          <w:color w:val="CC0000"/>
          <w:sz w:val="28"/>
          <w:szCs w:val="28"/>
        </w:rPr>
        <w:t xml:space="preserve">Cardiovascular</w:t>
      </w:r>
    </w:p>
    <w:p>
      <w:pPr>
        <w:pStyle w:val="ListParagraph"/>
        <w:numPr>
          <w:ilvl w:val="0"/>
          <w:numId w:val="2"/>
        </w:numPr>
        <w:spacing w:after="80" w:line="300"/>
      </w:pPr>
      <w:r>
        <w:rPr>
          <w:rFonts w:ascii="Arial" w:cs="Arial" w:eastAsia="Arial" w:hAnsi="Arial"/>
          <w:b/>
          <w:bCs/>
          <w:color w:val="CC0000"/>
          <w:sz w:val="22"/>
          <w:szCs w:val="22"/>
        </w:rPr>
        <w:t xml:space="preserve">Blood Pressure: </w:t>
      </w:r>
      <w:r>
        <w:rPr>
          <w:rFonts w:ascii="Arial" w:cs="Arial" w:eastAsia="Arial" w:hAnsi="Arial"/>
          <w:color w:val="000000"/>
          <w:sz w:val="22"/>
          <w:szCs w:val="22"/>
        </w:rPr>
        <w:t xml:space="preserve">Significant systolic blood pressure reduction observed across trials.</w:t>
      </w:r>
    </w:p>
    <w:p>
      <w:pPr>
        <w:pStyle w:val="ListParagraph"/>
        <w:numPr>
          <w:ilvl w:val="0"/>
          <w:numId w:val="2"/>
        </w:numPr>
        <w:spacing w:after="80" w:line="300"/>
      </w:pPr>
      <w:r>
        <w:rPr>
          <w:rFonts w:ascii="Arial" w:cs="Arial" w:eastAsia="Arial" w:hAnsi="Arial"/>
          <w:b/>
          <w:bCs/>
          <w:color w:val="CC0000"/>
          <w:sz w:val="22"/>
          <w:szCs w:val="22"/>
        </w:rPr>
        <w:t xml:space="preserve">Lipid Profile: </w:t>
      </w:r>
      <w:r>
        <w:rPr>
          <w:rFonts w:ascii="Arial" w:cs="Arial" w:eastAsia="Arial" w:hAnsi="Arial"/>
          <w:color w:val="000000"/>
          <w:sz w:val="22"/>
          <w:szCs w:val="22"/>
        </w:rPr>
        <w:t xml:space="preserve">Improvements in triglycerides, LDL cholesterol, and inflammatory markers.</w:t>
      </w:r>
    </w:p>
    <w:p>
      <w:pPr>
        <w:pStyle w:val="ListParagraph"/>
        <w:numPr>
          <w:ilvl w:val="0"/>
          <w:numId w:val="2"/>
        </w:numPr>
        <w:spacing w:after="80" w:line="300"/>
      </w:pPr>
      <w:r>
        <w:rPr>
          <w:rFonts w:ascii="Arial" w:cs="Arial" w:eastAsia="Arial" w:hAnsi="Arial"/>
          <w:b/>
          <w:bCs/>
          <w:color w:val="CC0000"/>
          <w:sz w:val="22"/>
          <w:szCs w:val="22"/>
        </w:rPr>
        <w:t xml:space="preserve">Waist Circumference: </w:t>
      </w:r>
      <w:r>
        <w:rPr>
          <w:rFonts w:ascii="Arial" w:cs="Arial" w:eastAsia="Arial" w:hAnsi="Arial"/>
          <w:color w:val="000000"/>
          <w:sz w:val="22"/>
          <w:szCs w:val="22"/>
        </w:rPr>
        <w:t xml:space="preserve">Clinically meaningful reduction in waist circumference.</w:t>
      </w:r>
    </w:p>
    <w:p>
      <w:pPr>
        <w:pStyle w:val="Heading2"/>
      </w:pPr>
      <w:r>
        <w:rPr>
          <w:rFonts w:ascii="Arial" w:cs="Arial" w:eastAsia="Arial" w:hAnsi="Arial"/>
          <w:b/>
          <w:bCs/>
          <w:color w:val="CC0000"/>
          <w:sz w:val="28"/>
          <w:szCs w:val="28"/>
        </w:rPr>
        <w:t xml:space="preserve">Metabolic &amp; Hepatic</w:t>
      </w:r>
    </w:p>
    <w:p>
      <w:pPr>
        <w:pStyle w:val="ListParagraph"/>
        <w:numPr>
          <w:ilvl w:val="0"/>
          <w:numId w:val="2"/>
        </w:numPr>
        <w:spacing w:after="80" w:line="300"/>
      </w:pPr>
      <w:r>
        <w:rPr>
          <w:rFonts w:ascii="Arial" w:cs="Arial" w:eastAsia="Arial" w:hAnsi="Arial"/>
          <w:b/>
          <w:bCs/>
          <w:color w:val="CC0000"/>
          <w:sz w:val="22"/>
          <w:szCs w:val="22"/>
        </w:rPr>
        <w:t xml:space="preserve">Insulin Sensitivity: </w:t>
      </w:r>
      <w:r>
        <w:rPr>
          <w:rFonts w:ascii="Arial" w:cs="Arial" w:eastAsia="Arial" w:hAnsi="Arial"/>
          <w:color w:val="000000"/>
          <w:sz w:val="22"/>
          <w:szCs w:val="22"/>
        </w:rPr>
        <w:t xml:space="preserve">Marked improvement in whole-body insulin sensitivity.</w:t>
      </w:r>
    </w:p>
    <w:p>
      <w:pPr>
        <w:pStyle w:val="ListParagraph"/>
        <w:numPr>
          <w:ilvl w:val="0"/>
          <w:numId w:val="2"/>
        </w:numPr>
        <w:spacing w:after="80" w:line="300"/>
      </w:pPr>
      <w:r>
        <w:rPr>
          <w:rFonts w:ascii="Arial" w:cs="Arial" w:eastAsia="Arial" w:hAnsi="Arial"/>
          <w:b/>
          <w:bCs/>
          <w:color w:val="CC0000"/>
          <w:sz w:val="22"/>
          <w:szCs w:val="22"/>
        </w:rPr>
        <w:t xml:space="preserve">Liver Fat: </w:t>
      </w:r>
      <w:r>
        <w:rPr>
          <w:rFonts w:ascii="Arial" w:cs="Arial" w:eastAsia="Arial" w:hAnsi="Arial"/>
          <w:color w:val="000000"/>
          <w:sz w:val="22"/>
          <w:szCs w:val="22"/>
        </w:rPr>
        <w:t xml:space="preserve">Up to 40% reduction in hepatic fat content.</w:t>
      </w:r>
    </w:p>
    <w:p>
      <w:pPr>
        <w:pStyle w:val="ListParagraph"/>
        <w:numPr>
          <w:ilvl w:val="0"/>
          <w:numId w:val="2"/>
        </w:numPr>
        <w:spacing w:after="80" w:line="300"/>
      </w:pPr>
      <w:r>
        <w:rPr>
          <w:rFonts w:ascii="Arial" w:cs="Arial" w:eastAsia="Arial" w:hAnsi="Arial"/>
          <w:b/>
          <w:bCs/>
          <w:color w:val="CC0000"/>
          <w:sz w:val="22"/>
          <w:szCs w:val="22"/>
        </w:rPr>
        <w:t xml:space="preserve">NASH Markers: </w:t>
      </w:r>
      <w:r>
        <w:rPr>
          <w:rFonts w:ascii="Arial" w:cs="Arial" w:eastAsia="Arial" w:hAnsi="Arial"/>
          <w:color w:val="000000"/>
          <w:sz w:val="22"/>
          <w:szCs w:val="22"/>
        </w:rPr>
        <w:t xml:space="preserve">Improvement in non-alcoholic steatohepatitis biomarkers.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Reconstitution Guidelines</w:t>
      </w:r>
    </w:p>
    <w:p>
      <w:pPr>
        <w:spacing w:after="160" w:line="300"/>
      </w:pPr>
      <w:r>
        <w:rPr>
          <w:rFonts w:ascii="Arial" w:cs="Arial" w:eastAsia="Arial" w:hAnsi="Arial"/>
          <w:color w:val="000000"/>
          <w:sz w:val="22"/>
          <w:szCs w:val="22"/>
        </w:rPr>
        <w:t xml:space="preserve">For lyophilized research-grade tirzepatide, follow these reconstitution steps:</w:t>
      </w:r>
    </w:p>
    <w:p>
      <w:pPr>
        <w:pStyle w:val="Heading2"/>
      </w:pPr>
      <w:r>
        <w:rPr>
          <w:rFonts w:ascii="Arial" w:cs="Arial" w:eastAsia="Arial" w:hAnsi="Arial"/>
          <w:b/>
          <w:bCs/>
          <w:color w:val="CC0000"/>
          <w:sz w:val="28"/>
          <w:szCs w:val="28"/>
        </w:rPr>
        <w:t xml:space="preserve">Preparation</w:t>
      </w:r>
    </w:p>
    <w:p>
      <w:pPr>
        <w:pStyle w:val="ListParagraph"/>
        <w:numPr>
          <w:ilvl w:val="0"/>
          <w:numId w:val="2"/>
        </w:numPr>
        <w:spacing w:after="80" w:line="300"/>
      </w:pPr>
      <w:r>
        <w:rPr>
          <w:rFonts w:ascii="Arial" w:cs="Arial" w:eastAsia="Arial" w:hAnsi="Arial"/>
          <w:b/>
          <w:bCs/>
          <w:color w:val="CC0000"/>
          <w:sz w:val="22"/>
          <w:szCs w:val="22"/>
        </w:rPr>
        <w:t xml:space="preserve">Temperature: </w:t>
      </w:r>
      <w:r>
        <w:rPr>
          <w:rFonts w:ascii="Arial" w:cs="Arial" w:eastAsia="Arial" w:hAnsi="Arial"/>
          <w:color w:val="000000"/>
          <w:sz w:val="22"/>
          <w:szCs w:val="22"/>
        </w:rPr>
        <w:t xml:space="preserve">Allow the vial and BAC water to reach room temperature for approximately 30 minutes, away from direct light or heat.</w:t>
      </w:r>
    </w:p>
    <w:p>
      <w:pPr>
        <w:pStyle w:val="ListParagraph"/>
        <w:numPr>
          <w:ilvl w:val="0"/>
          <w:numId w:val="2"/>
        </w:numPr>
        <w:spacing w:after="80" w:line="300"/>
      </w:pPr>
      <w:r>
        <w:rPr>
          <w:rFonts w:ascii="Arial" w:cs="Arial" w:eastAsia="Arial" w:hAnsi="Arial"/>
          <w:b/>
          <w:bCs/>
          <w:color w:val="CC0000"/>
          <w:sz w:val="22"/>
          <w:szCs w:val="22"/>
        </w:rPr>
        <w:t xml:space="preserve">Inspection: </w:t>
      </w:r>
      <w:r>
        <w:rPr>
          <w:rFonts w:ascii="Arial" w:cs="Arial" w:eastAsia="Arial" w:hAnsi="Arial"/>
          <w:color w:val="000000"/>
          <w:sz w:val="22"/>
          <w:szCs w:val="22"/>
        </w:rPr>
        <w:t xml:space="preserve">Inspect the vial for any visible particles or discoloration.</w:t>
      </w:r>
    </w:p>
    <w:p>
      <w:pPr>
        <w:pStyle w:val="ListParagraph"/>
        <w:numPr>
          <w:ilvl w:val="0"/>
          <w:numId w:val="2"/>
        </w:numPr>
        <w:spacing w:after="80" w:line="300"/>
      </w:pPr>
      <w:r>
        <w:rPr>
          <w:rFonts w:ascii="Arial" w:cs="Arial" w:eastAsia="Arial" w:hAnsi="Arial"/>
          <w:b/>
          <w:bCs/>
          <w:color w:val="CC0000"/>
          <w:sz w:val="22"/>
          <w:szCs w:val="22"/>
        </w:rPr>
        <w:t xml:space="preserve">Cleanliness: </w:t>
      </w:r>
      <w:r>
        <w:rPr>
          <w:rFonts w:ascii="Arial" w:cs="Arial" w:eastAsia="Arial" w:hAnsi="Arial"/>
          <w:color w:val="000000"/>
          <w:sz w:val="22"/>
          <w:szCs w:val="22"/>
        </w:rPr>
        <w:t xml:space="preserve">Wash hands thoroughly and prepare a clean work surface. Swab the rubber stoppers of both the tirzepatide vial and BAC water vial with alcohol and allow to dry (~15 seconds).</w:t>
      </w:r>
    </w:p>
    <w:p>
      <w:pPr>
        <w:pStyle w:val="Heading2"/>
      </w:pPr>
      <w:r>
        <w:rPr>
          <w:rFonts w:ascii="Arial" w:cs="Arial" w:eastAsia="Arial" w:hAnsi="Arial"/>
          <w:b/>
          <w:bCs/>
          <w:color w:val="CC0000"/>
          <w:sz w:val="28"/>
          <w:szCs w:val="28"/>
        </w:rPr>
        <w:t xml:space="preserve">Reconstitution Process</w:t>
      </w:r>
    </w:p>
    <w:p>
      <w:pPr>
        <w:pStyle w:val="ListParagraph"/>
        <w:numPr>
          <w:ilvl w:val="0"/>
          <w:numId w:val="2"/>
        </w:numPr>
        <w:spacing w:after="80" w:line="300"/>
      </w:pPr>
      <w:r>
        <w:rPr>
          <w:rFonts w:ascii="Arial" w:cs="Arial" w:eastAsia="Arial" w:hAnsi="Arial"/>
          <w:b/>
          <w:bCs/>
          <w:color w:val="CC0000"/>
          <w:sz w:val="22"/>
          <w:szCs w:val="22"/>
        </w:rPr>
        <w:t xml:space="preserve">Step 1: </w:t>
      </w:r>
      <w:r>
        <w:rPr>
          <w:rFonts w:ascii="Arial" w:cs="Arial" w:eastAsia="Arial" w:hAnsi="Arial"/>
          <w:color w:val="000000"/>
          <w:sz w:val="22"/>
          <w:szCs w:val="22"/>
        </w:rPr>
        <w:t xml:space="preserve">Draw the specified volume of BAC water into a sterile syringe (3 mL or 5 mL syringe with blunt-tip or standard needle).</w:t>
      </w:r>
    </w:p>
    <w:p>
      <w:pPr>
        <w:pStyle w:val="ListParagraph"/>
        <w:numPr>
          <w:ilvl w:val="0"/>
          <w:numId w:val="2"/>
        </w:numPr>
        <w:spacing w:after="80" w:line="300"/>
      </w:pPr>
      <w:r>
        <w:rPr>
          <w:rFonts w:ascii="Arial" w:cs="Arial" w:eastAsia="Arial" w:hAnsi="Arial"/>
          <w:b/>
          <w:bCs/>
          <w:color w:val="CC0000"/>
          <w:sz w:val="22"/>
          <w:szCs w:val="22"/>
        </w:rPr>
        <w:t xml:space="preserve">Step 2: </w:t>
      </w:r>
      <w:r>
        <w:rPr>
          <w:rFonts w:ascii="Arial" w:cs="Arial" w:eastAsia="Arial" w:hAnsi="Arial"/>
          <w:color w:val="000000"/>
          <w:sz w:val="22"/>
          <w:szCs w:val="22"/>
        </w:rPr>
        <w:t xml:space="preserve">Slowly inject the BAC water into the vial by allowing it to run down the inner side of the vial rather than directly onto the powder. This reduces foaming and prevents peptide degradation.</w:t>
      </w:r>
    </w:p>
    <w:p>
      <w:pPr>
        <w:pStyle w:val="ListParagraph"/>
        <w:numPr>
          <w:ilvl w:val="0"/>
          <w:numId w:val="2"/>
        </w:numPr>
        <w:spacing w:after="80" w:line="300"/>
      </w:pPr>
      <w:r>
        <w:rPr>
          <w:rFonts w:ascii="Arial" w:cs="Arial" w:eastAsia="Arial" w:hAnsi="Arial"/>
          <w:b/>
          <w:bCs/>
          <w:color w:val="CC0000"/>
          <w:sz w:val="22"/>
          <w:szCs w:val="22"/>
        </w:rPr>
        <w:t xml:space="preserve">Step 3: </w:t>
      </w:r>
      <w:r>
        <w:rPr>
          <w:rFonts w:ascii="Arial" w:cs="Arial" w:eastAsia="Arial" w:hAnsi="Arial"/>
          <w:color w:val="000000"/>
          <w:sz w:val="22"/>
          <w:szCs w:val="22"/>
        </w:rPr>
        <w:t xml:space="preserve">Gently swirl the vial (do not shake) until the tirzepatide is fully dissolved. Do not shake vigorously as this can damage the peptide molecules.</w:t>
      </w:r>
    </w:p>
    <w:p>
      <w:pPr>
        <w:pStyle w:val="ListParagraph"/>
        <w:numPr>
          <w:ilvl w:val="0"/>
          <w:numId w:val="2"/>
        </w:numPr>
        <w:spacing w:after="80" w:line="300"/>
      </w:pPr>
      <w:r>
        <w:rPr>
          <w:rFonts w:ascii="Arial" w:cs="Arial" w:eastAsia="Arial" w:hAnsi="Arial"/>
          <w:b/>
          <w:bCs/>
          <w:color w:val="CC0000"/>
          <w:sz w:val="22"/>
          <w:szCs w:val="22"/>
        </w:rPr>
        <w:t xml:space="preserve">Step 4: </w:t>
      </w:r>
      <w:r>
        <w:rPr>
          <w:rFonts w:ascii="Arial" w:cs="Arial" w:eastAsia="Arial" w:hAnsi="Arial"/>
          <w:color w:val="000000"/>
          <w:sz w:val="22"/>
          <w:szCs w:val="22"/>
        </w:rPr>
        <w:t xml:space="preserve">Visually inspect the reconstituted solution for clarity. Solution should be clear and colorless to slightly yellow. Do not use if solution contains visible particles or is discolored.</w:t>
      </w:r>
    </w:p>
    <w:p>
      <w:pPr>
        <w:pStyle w:val="Heading2"/>
      </w:pPr>
      <w:r>
        <w:rPr>
          <w:rFonts w:ascii="Arial" w:cs="Arial" w:eastAsia="Arial" w:hAnsi="Arial"/>
          <w:b/>
          <w:bCs/>
          <w:color w:val="CC0000"/>
          <w:sz w:val="28"/>
          <w:szCs w:val="28"/>
        </w:rPr>
        <w:t xml:space="preserve">Simplified Dilution Guide</w:t>
      </w:r>
    </w:p>
    <w:p>
      <w:pPr>
        <w:spacing w:after="160" w:line="300"/>
      </w:pPr>
      <w:r>
        <w:rPr>
          <w:rFonts w:ascii="Arial" w:cs="Arial" w:eastAsia="Arial" w:hAnsi="Arial"/>
          <w:color w:val="000000"/>
          <w:sz w:val="22"/>
          <w:szCs w:val="22"/>
        </w:rPr>
        <w:t xml:space="preserve">To standardize dosing and reduce errors, use the following reconstitution ratios. This creates a uniform concentration of 10 mg/mL across all vial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5 mg Vial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Add 0.5 mL BAC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10 mg Vial</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Add 1.0 mL BAC water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15 mg Vial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Add 1.5 mL BAC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20 mg Vial</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Add 2.0 mL BAC water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30 mg Vial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Add 3.0 mL BAC water</w:t>
            </w:r>
          </w:p>
        </w:tc>
      </w:tr>
    </w:tbl>
    <w:p>
      <w:pPr>
        <w:spacing w:before="200"/>
      </w:pPr>
    </w:p>
    <w:p>
      <w:pPr>
        <w:spacing w:after="160" w:line="300"/>
      </w:pPr>
      <w:r>
        <w:rPr>
          <w:rFonts w:ascii="Arial" w:cs="Arial" w:eastAsia="Arial" w:hAnsi="Arial"/>
          <w:color w:val="000000"/>
          <w:sz w:val="22"/>
          <w:szCs w:val="22"/>
        </w:rPr>
        <w:t xml:space="preserve">Resulting concentration: 0.1 mL (10 units on insulin syringe) = 1 mg. For example, a 2.5 mg dose = 0.25 mL (25 units), a 5 mg dose = 0.5 mL (50 units). This method makes subcutaneous dosing straightforward and minimizes measurement errors.</w:t>
      </w:r>
    </w:p>
    <w:p>
      <w:pPr>
        <w:pStyle w:val="Heading2"/>
      </w:pPr>
      <w:r>
        <w:rPr>
          <w:rFonts w:ascii="Arial" w:cs="Arial" w:eastAsia="Arial" w:hAnsi="Arial"/>
          <w:b/>
          <w:bCs/>
          <w:color w:val="CC0000"/>
          <w:sz w:val="28"/>
          <w:szCs w:val="28"/>
        </w:rPr>
        <w:t xml:space="preserve">Storage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 After Reconstitution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28 days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Lyophilized 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Store at -20C, protected from light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Needle Gauge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29-31 gauge insulin syringe for subcutaneous injection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Subcutaneous (abdomen, thigh, upper arm), rotate sites weekly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Frequency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Administer full dose once weekly, any time of day</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reflects FDA-approved dosing for research reference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Starting Dose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2.5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Weekly (4 weeks)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Step 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5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Weekly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Step 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7.5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Weekly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Step 4</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10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Weekly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Maximum</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15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Weekly</w:t>
            </w:r>
          </w:p>
        </w:tc>
      </w:tr>
    </w:tbl>
    <w:p>
      <w:pPr>
        <w:spacing w:before="200"/>
      </w:pPr>
    </w:p>
    <w:p>
      <w:pPr>
        <w:pStyle w:val="Heading2"/>
      </w:pPr>
      <w:r>
        <w:rPr>
          <w:rFonts w:ascii="Arial" w:cs="Arial" w:eastAsia="Arial" w:hAnsi="Arial"/>
          <w:b/>
          <w:bCs/>
          <w:color w:val="CC0000"/>
          <w:sz w:val="28"/>
          <w:szCs w:val="28"/>
        </w:rPr>
        <w:t xml:space="preserve">Administration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Formulation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Pre-filled pen; research: lyophilized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Sterile bacteriostatic water (research use)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Refrigerate at 2-8C</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Subcutaneous (abdomen, thigh, upper arm), rotate sites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Once weekly, any time of day, with or without meals</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Tirzepatide has been extensively studied in large-scale Phase 3 clinical trials:</w:t>
      </w:r>
    </w:p>
    <w:p>
      <w:pPr>
        <w:pStyle w:val="ListParagraph"/>
        <w:numPr>
          <w:ilvl w:val="0"/>
          <w:numId w:val="2"/>
        </w:numPr>
        <w:spacing w:after="80" w:line="300"/>
      </w:pPr>
      <w:r>
        <w:rPr>
          <w:rFonts w:ascii="Arial" w:cs="Arial" w:eastAsia="Arial" w:hAnsi="Arial"/>
          <w:b/>
          <w:bCs/>
          <w:color w:val="CC0000"/>
          <w:sz w:val="22"/>
          <w:szCs w:val="22"/>
        </w:rPr>
        <w:t xml:space="preserve">Gastrointestinal: </w:t>
      </w:r>
      <w:r>
        <w:rPr>
          <w:rFonts w:ascii="Arial" w:cs="Arial" w:eastAsia="Arial" w:hAnsi="Arial"/>
          <w:color w:val="000000"/>
          <w:sz w:val="22"/>
          <w:szCs w:val="22"/>
        </w:rPr>
        <w:t xml:space="preserve">Nausea, diarrhea, and constipation are the most common adverse effects, typically dose-dependent and transient during the titration period.</w:t>
      </w:r>
    </w:p>
    <w:p>
      <w:pPr>
        <w:pStyle w:val="ListParagraph"/>
        <w:numPr>
          <w:ilvl w:val="0"/>
          <w:numId w:val="2"/>
        </w:numPr>
        <w:spacing w:after="80" w:line="300"/>
      </w:pPr>
      <w:r>
        <w:rPr>
          <w:rFonts w:ascii="Arial" w:cs="Arial" w:eastAsia="Arial" w:hAnsi="Arial"/>
          <w:b/>
          <w:bCs/>
          <w:color w:val="CC0000"/>
          <w:sz w:val="22"/>
          <w:szCs w:val="22"/>
        </w:rPr>
        <w:t xml:space="preserve">Injection Site: </w:t>
      </w:r>
      <w:r>
        <w:rPr>
          <w:rFonts w:ascii="Arial" w:cs="Arial" w:eastAsia="Arial" w:hAnsi="Arial"/>
          <w:color w:val="000000"/>
          <w:sz w:val="22"/>
          <w:szCs w:val="22"/>
        </w:rPr>
        <w:t xml:space="preserve">Mild reactions including erythema and pruritus reported in some subjects.</w:t>
      </w:r>
    </w:p>
    <w:p>
      <w:pPr>
        <w:pStyle w:val="ListParagraph"/>
        <w:numPr>
          <w:ilvl w:val="0"/>
          <w:numId w:val="2"/>
        </w:numPr>
        <w:spacing w:after="80" w:line="300"/>
      </w:pPr>
      <w:r>
        <w:rPr>
          <w:rFonts w:ascii="Arial" w:cs="Arial" w:eastAsia="Arial" w:hAnsi="Arial"/>
          <w:b/>
          <w:bCs/>
          <w:color w:val="CC0000"/>
          <w:sz w:val="22"/>
          <w:szCs w:val="22"/>
        </w:rPr>
        <w:t xml:space="preserve">Thyroid: </w:t>
      </w:r>
      <w:r>
        <w:rPr>
          <w:rFonts w:ascii="Arial" w:cs="Arial" w:eastAsia="Arial" w:hAnsi="Arial"/>
          <w:color w:val="000000"/>
          <w:sz w:val="22"/>
          <w:szCs w:val="22"/>
        </w:rPr>
        <w:t xml:space="preserve">GLP-1 receptor agonist class boxed warning regarding thyroid C-cell tumors in rodent studies.</w:t>
      </w:r>
    </w:p>
    <w:p>
      <w:pPr>
        <w:pStyle w:val="ListParagraph"/>
        <w:numPr>
          <w:ilvl w:val="0"/>
          <w:numId w:val="2"/>
        </w:numPr>
        <w:spacing w:after="80" w:line="300"/>
      </w:pPr>
      <w:r>
        <w:rPr>
          <w:rFonts w:ascii="Arial" w:cs="Arial" w:eastAsia="Arial" w:hAnsi="Arial"/>
          <w:b/>
          <w:bCs/>
          <w:color w:val="CC0000"/>
          <w:sz w:val="22"/>
          <w:szCs w:val="22"/>
        </w:rPr>
        <w:t xml:space="preserve">Pancreatitis: </w:t>
      </w:r>
      <w:r>
        <w:rPr>
          <w:rFonts w:ascii="Arial" w:cs="Arial" w:eastAsia="Arial" w:hAnsi="Arial"/>
          <w:color w:val="000000"/>
          <w:sz w:val="22"/>
          <w:szCs w:val="22"/>
        </w:rPr>
        <w:t xml:space="preserve">Rare; monitor lipase and amylase levels as clinically indicated.</w:t>
      </w:r>
    </w:p>
    <w:p>
      <w:pPr>
        <w:pStyle w:val="ListParagraph"/>
        <w:numPr>
          <w:ilvl w:val="0"/>
          <w:numId w:val="2"/>
        </w:numPr>
        <w:spacing w:after="80" w:line="300"/>
      </w:pPr>
      <w:r>
        <w:rPr>
          <w:rFonts w:ascii="Arial" w:cs="Arial" w:eastAsia="Arial" w:hAnsi="Arial"/>
          <w:b/>
          <w:bCs/>
          <w:color w:val="CC0000"/>
          <w:sz w:val="22"/>
          <w:szCs w:val="22"/>
        </w:rPr>
        <w:t xml:space="preserve">Hypoglycemia: </w:t>
      </w:r>
      <w:r>
        <w:rPr>
          <w:rFonts w:ascii="Arial" w:cs="Arial" w:eastAsia="Arial" w:hAnsi="Arial"/>
          <w:color w:val="000000"/>
          <w:sz w:val="22"/>
          <w:szCs w:val="22"/>
        </w:rPr>
        <w:t xml:space="preserve">Low risk as monotherapy; increased risk when combined with sulfonylureas or insulin.</w:t>
      </w:r>
    </w:p>
    <w:p>
      <w:pPr>
        <w:pStyle w:val="ListParagraph"/>
        <w:numPr>
          <w:ilvl w:val="0"/>
          <w:numId w:val="2"/>
        </w:numPr>
        <w:spacing w:after="80" w:line="300"/>
      </w:pPr>
      <w:r>
        <w:rPr>
          <w:rFonts w:ascii="Arial" w:cs="Arial" w:eastAsia="Arial" w:hAnsi="Arial"/>
          <w:b/>
          <w:bCs/>
          <w:color w:val="CC0000"/>
          <w:sz w:val="22"/>
          <w:szCs w:val="22"/>
        </w:rPr>
        <w:t xml:space="preserve">Contraindications: </w:t>
      </w:r>
      <w:r>
        <w:rPr>
          <w:rFonts w:ascii="Arial" w:cs="Arial" w:eastAsia="Arial" w:hAnsi="Arial"/>
          <w:color w:val="000000"/>
          <w:sz w:val="22"/>
          <w:szCs w:val="22"/>
        </w:rPr>
        <w:t xml:space="preserve">Personal or family history of MTC or MEN2. Pregnancy not recommended.</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Jastreboff AM, et al. Tirzepatide Once Weekly for the Treatment of Obesity. New England Journal of Medicine. 2022 (SURMOUNT-1).</w:t>
      </w:r>
    </w:p>
    <w:p>
      <w:pPr>
        <w:pStyle w:val="ListParagraph"/>
        <w:numPr>
          <w:ilvl w:val="0"/>
          <w:numId w:val="3"/>
        </w:numPr>
        <w:spacing w:after="80" w:line="300"/>
      </w:pPr>
      <w:r>
        <w:rPr>
          <w:rFonts w:ascii="Arial" w:cs="Arial" w:eastAsia="Arial" w:hAnsi="Arial"/>
          <w:color w:val="000000"/>
          <w:sz w:val="20"/>
          <w:szCs w:val="20"/>
        </w:rPr>
        <w:t xml:space="preserve">Frias JP, et al. Tirzepatide versus Semaglutide Once Weekly in Patients with Type 2 Diabetes. New England Journal of Medicine. 2021 (SURPASS-2).</w:t>
      </w:r>
    </w:p>
    <w:p>
      <w:pPr>
        <w:pStyle w:val="ListParagraph"/>
        <w:numPr>
          <w:ilvl w:val="0"/>
          <w:numId w:val="3"/>
        </w:numPr>
        <w:spacing w:after="80" w:line="300"/>
      </w:pPr>
      <w:r>
        <w:rPr>
          <w:rFonts w:ascii="Arial" w:cs="Arial" w:eastAsia="Arial" w:hAnsi="Arial"/>
          <w:color w:val="000000"/>
          <w:sz w:val="20"/>
          <w:szCs w:val="20"/>
        </w:rPr>
        <w:t xml:space="preserve">Rosenstock J, et al. Efficacy and Safety of a Novel Dual GIP and GLP-1 Receptor Agonist Tirzepatide in Type 2 Diabetes. Lancet. 2021 (SURPASS-1).</w:t>
      </w:r>
    </w:p>
    <w:p>
      <w:pPr>
        <w:pStyle w:val="ListParagraph"/>
        <w:numPr>
          <w:ilvl w:val="0"/>
          <w:numId w:val="3"/>
        </w:numPr>
        <w:spacing w:after="80" w:line="300"/>
      </w:pPr>
      <w:r>
        <w:rPr>
          <w:rFonts w:ascii="Arial" w:cs="Arial" w:eastAsia="Arial" w:hAnsi="Arial"/>
          <w:color w:val="000000"/>
          <w:sz w:val="20"/>
          <w:szCs w:val="20"/>
        </w:rPr>
        <w:t xml:space="preserve">Del Prato S, et al. Tirzepatide versus Insulin Glargine in Type 2 Diabetes. New England Journal of Medicine. 2021 (SURPASS-4).</w:t>
      </w:r>
    </w:p>
    <w:p>
      <w:pPr>
        <w:pStyle w:val="ListParagraph"/>
        <w:numPr>
          <w:ilvl w:val="0"/>
          <w:numId w:val="3"/>
        </w:numPr>
        <w:spacing w:after="80" w:line="300"/>
      </w:pPr>
      <w:r>
        <w:rPr>
          <w:rFonts w:ascii="Arial" w:cs="Arial" w:eastAsia="Arial" w:hAnsi="Arial"/>
          <w:color w:val="000000"/>
          <w:sz w:val="20"/>
          <w:szCs w:val="20"/>
        </w:rPr>
        <w:t xml:space="preserve">Ludvik B, et al. Once-Weekly Tirzepatide versus Once-Daily Insulin Degludec as Add-On to Metformin. JAMA. 2021 (SURPASS-3).</w:t>
      </w:r>
    </w:p>
    <w:p>
      <w:pPr>
        <w:pStyle w:val="ListParagraph"/>
        <w:numPr>
          <w:ilvl w:val="0"/>
          <w:numId w:val="3"/>
        </w:numPr>
        <w:spacing w:after="80" w:line="300"/>
      </w:pPr>
      <w:r>
        <w:rPr>
          <w:rFonts w:ascii="Arial" w:cs="Arial" w:eastAsia="Arial" w:hAnsi="Arial"/>
          <w:color w:val="000000"/>
          <w:sz w:val="20"/>
          <w:szCs w:val="20"/>
        </w:rPr>
        <w:t xml:space="preserve">Garvey WT, et al. Tirzepatide Once Weekly for the Treatment of Obesity in People with Type 2 Diabetes. Lancet. 2023 (SURMOUNT-2).</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Tirzepatide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Tirzepatide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Tirzepatide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2026-03-28T19:52:56.870Z</dcterms:created>
  <dcterms:modified xsi:type="dcterms:W3CDTF">2026-03-28T19:52:56.870Z</dcterms:modified>
</cp:coreProperties>
</file>

<file path=docProps/custom.xml><?xml version="1.0" encoding="utf-8"?>
<Properties xmlns="http://schemas.openxmlformats.org/officeDocument/2006/custom-properties" xmlns:vt="http://schemas.openxmlformats.org/officeDocument/2006/docPropsVTypes"/>
</file>