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Melanotan II</w:t>
      </w:r>
    </w:p>
    <w:p>
      <w:pPr>
        <w:pBdr>
          <w:bottom w:val="single" w:color="CC0000" w:sz="6" w:space="8"/>
        </w:pBdr>
        <w:spacing w:after="100"/>
        <w:jc w:val="center"/>
      </w:pPr>
      <w:r>
        <w:rPr>
          <w:rFonts w:ascii="Arial" w:cs="Arial" w:eastAsia="Arial" w:hAnsi="Arial"/>
          <w:color w:val="555555"/>
          <w:sz w:val="22"/>
          <w:szCs w:val="22"/>
        </w:rPr>
        <w:t xml:space="preserve">Synthetic Melanocortin Agonist | Alpha-MSH Analog</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Melanotan II (MT-II)</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Synthetic Cyclic Heptapeptide / Melanocortin Agonist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Ac-Nle-c[Asp-His-D-Phe-Arg-Trp-Lys]-NH2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C50H69N15O9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1024.18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121062-08-6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33 minutes (IV)</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Extensive preclinical &amp; clinical research</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Melanotan II is a synthetic cyclic lactam analog of alpha-melanocyte-stimulating hormone (alpha-MSH). Developed at the University of Arizona by Dr. Victor Hruby in the late 1980s, it was designed as a non-selective agonist of the melanocortin receptor system, targeting MC1R through MC5R subtypes.</w:t>
      </w:r>
    </w:p>
    <w:p>
      <w:pPr>
        <w:spacing w:after="160" w:line="300"/>
      </w:pPr>
      <w:r>
        <w:rPr>
          <w:rFonts w:ascii="Arial" w:cs="Arial" w:eastAsia="Arial" w:hAnsi="Arial"/>
          <w:color w:val="000000"/>
          <w:sz w:val="22"/>
          <w:szCs w:val="22"/>
        </w:rPr>
        <w:t xml:space="preserve">Originally researched as a photoprotective agent, subsequent research revealed broad activity affecting skin pigmentation, appetite, sexual function, energy homeostasis, and inflammatory pathways. Its cyclic structure provides enhanced metabolic stability compared to linear alpha-MSH. Bremelanotide (PT-141), derived from MT-II, later received FDA approval for hypoactive sexual desire disorder.</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MC1R: Melanogenesis &amp; Pigmentation</w:t>
      </w:r>
    </w:p>
    <w:p>
      <w:pPr>
        <w:spacing w:after="160" w:line="300"/>
      </w:pPr>
      <w:r>
        <w:rPr>
          <w:rFonts w:ascii="Arial" w:cs="Arial" w:eastAsia="Arial" w:hAnsi="Arial"/>
          <w:color w:val="000000"/>
          <w:sz w:val="22"/>
          <w:szCs w:val="22"/>
        </w:rPr>
        <w:t xml:space="preserve">Activation of MC1R on melanocytes stimulates the melanogenesis pathway, increasing eumelanin production through cAMP-dependent activation of CREB and upregulation of MITF, the master regulator of melanocyte gene expression. The resulting eumelanin provides photoprotective properties against UV radiation.</w:t>
      </w:r>
    </w:p>
    <w:p>
      <w:pPr>
        <w:pStyle w:val="Heading2"/>
      </w:pPr>
      <w:r>
        <w:rPr>
          <w:rFonts w:ascii="Arial" w:cs="Arial" w:eastAsia="Arial" w:hAnsi="Arial"/>
          <w:b/>
          <w:bCs/>
          <w:color w:val="CC0000"/>
          <w:sz w:val="28"/>
          <w:szCs w:val="28"/>
        </w:rPr>
        <w:t xml:space="preserve">MC3R/MC4R: Appetite &amp; Energy Regulation</w:t>
      </w:r>
    </w:p>
    <w:p>
      <w:pPr>
        <w:spacing w:after="160" w:line="300"/>
      </w:pPr>
      <w:r>
        <w:rPr>
          <w:rFonts w:ascii="Arial" w:cs="Arial" w:eastAsia="Arial" w:hAnsi="Arial"/>
          <w:color w:val="000000"/>
          <w:sz w:val="22"/>
          <w:szCs w:val="22"/>
        </w:rPr>
        <w:t xml:space="preserve">MC3R and MC4R in the hypothalamus regulate energy homeostasis. MC4R activation produces appetite-suppressing effects and increases energy expenditure. MC3R contributes to nutrient partitioning and fat metabolism. These pathways are among the most important regulators of body weight.</w:t>
      </w:r>
    </w:p>
    <w:p>
      <w:pPr>
        <w:pStyle w:val="Heading2"/>
      </w:pPr>
      <w:r>
        <w:rPr>
          <w:rFonts w:ascii="Arial" w:cs="Arial" w:eastAsia="Arial" w:hAnsi="Arial"/>
          <w:b/>
          <w:bCs/>
          <w:color w:val="CC0000"/>
          <w:sz w:val="28"/>
          <w:szCs w:val="28"/>
        </w:rPr>
        <w:t xml:space="preserve">MC4R: Sexual Function &amp; Arousal</w:t>
      </w:r>
    </w:p>
    <w:p>
      <w:pPr>
        <w:spacing w:after="160" w:line="300"/>
      </w:pPr>
      <w:r>
        <w:rPr>
          <w:rFonts w:ascii="Arial" w:cs="Arial" w:eastAsia="Arial" w:hAnsi="Arial"/>
          <w:color w:val="000000"/>
          <w:sz w:val="22"/>
          <w:szCs w:val="22"/>
        </w:rPr>
        <w:t xml:space="preserve">MC4R activation in the medial preoptic area mediates pro-erectile and pro-sexual effects through central pathways involving oxytocin release. This mechanism is distinct from PDE5 inhibitors and operates centrally rather than peripherally.</w:t>
      </w:r>
    </w:p>
    <w:p>
      <w:pPr>
        <w:pStyle w:val="Heading2"/>
      </w:pPr>
      <w:r>
        <w:rPr>
          <w:rFonts w:ascii="Arial" w:cs="Arial" w:eastAsia="Arial" w:hAnsi="Arial"/>
          <w:b/>
          <w:bCs/>
          <w:color w:val="CC0000"/>
          <w:sz w:val="28"/>
          <w:szCs w:val="28"/>
        </w:rPr>
        <w:t xml:space="preserve">MC5R: Exocrine Function</w:t>
      </w:r>
    </w:p>
    <w:p>
      <w:pPr>
        <w:spacing w:after="160" w:line="300"/>
      </w:pPr>
      <w:r>
        <w:rPr>
          <w:rFonts w:ascii="Arial" w:cs="Arial" w:eastAsia="Arial" w:hAnsi="Arial"/>
          <w:color w:val="000000"/>
          <w:sz w:val="22"/>
          <w:szCs w:val="22"/>
        </w:rPr>
        <w:t xml:space="preserve">MC5R activation regulates sebaceous gland secretion and exocrine function. Research also indicates MC5R involvement in immune modulation and inflammatory responses in peripheral tissues.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Skin Pigmentation &amp; Photoprotection</w:t>
      </w:r>
    </w:p>
    <w:p>
      <w:pPr>
        <w:pStyle w:val="ListParagraph"/>
        <w:numPr>
          <w:ilvl w:val="0"/>
          <w:numId w:val="2"/>
        </w:numPr>
        <w:spacing w:after="80" w:line="300"/>
      </w:pPr>
      <w:r>
        <w:rPr>
          <w:rFonts w:ascii="Arial" w:cs="Arial" w:eastAsia="Arial" w:hAnsi="Arial"/>
          <w:b/>
          <w:bCs/>
          <w:color w:val="CC0000"/>
          <w:sz w:val="22"/>
          <w:szCs w:val="22"/>
        </w:rPr>
        <w:t xml:space="preserve">Melanogenesis: </w:t>
      </w:r>
      <w:r>
        <w:rPr>
          <w:rFonts w:ascii="Arial" w:cs="Arial" w:eastAsia="Arial" w:hAnsi="Arial"/>
          <w:color w:val="000000"/>
          <w:sz w:val="22"/>
          <w:szCs w:val="22"/>
        </w:rPr>
        <w:t xml:space="preserve">Significantly increases eumelanin production, enhancing skin pigmentation independent of UV exposure.</w:t>
      </w:r>
    </w:p>
    <w:p>
      <w:pPr>
        <w:pStyle w:val="ListParagraph"/>
        <w:numPr>
          <w:ilvl w:val="0"/>
          <w:numId w:val="2"/>
        </w:numPr>
        <w:spacing w:after="80" w:line="300"/>
      </w:pPr>
      <w:r>
        <w:rPr>
          <w:rFonts w:ascii="Arial" w:cs="Arial" w:eastAsia="Arial" w:hAnsi="Arial"/>
          <w:b/>
          <w:bCs/>
          <w:color w:val="CC0000"/>
          <w:sz w:val="22"/>
          <w:szCs w:val="22"/>
        </w:rPr>
        <w:t xml:space="preserve">UV Protection: </w:t>
      </w:r>
      <w:r>
        <w:rPr>
          <w:rFonts w:ascii="Arial" w:cs="Arial" w:eastAsia="Arial" w:hAnsi="Arial"/>
          <w:color w:val="000000"/>
          <w:sz w:val="22"/>
          <w:szCs w:val="22"/>
        </w:rPr>
        <w:t xml:space="preserve">Increased eumelanin provides natural photoprotective properties against UV radiation.</w:t>
      </w:r>
    </w:p>
    <w:p>
      <w:pPr>
        <w:pStyle w:val="ListParagraph"/>
        <w:numPr>
          <w:ilvl w:val="0"/>
          <w:numId w:val="2"/>
        </w:numPr>
        <w:spacing w:after="80" w:line="300"/>
      </w:pPr>
      <w:r>
        <w:rPr>
          <w:rFonts w:ascii="Arial" w:cs="Arial" w:eastAsia="Arial" w:hAnsi="Arial"/>
          <w:b/>
          <w:bCs/>
          <w:color w:val="CC0000"/>
          <w:sz w:val="22"/>
          <w:szCs w:val="22"/>
        </w:rPr>
        <w:t xml:space="preserve">Melanoma Risk: </w:t>
      </w:r>
      <w:r>
        <w:rPr>
          <w:rFonts w:ascii="Arial" w:cs="Arial" w:eastAsia="Arial" w:hAnsi="Arial"/>
          <w:color w:val="000000"/>
          <w:sz w:val="22"/>
          <w:szCs w:val="22"/>
        </w:rPr>
        <w:t xml:space="preserve">Eumelanin shift may reduce oxidative DNA damage associated with pheomelanin synthesis.</w:t>
      </w:r>
    </w:p>
    <w:p>
      <w:pPr>
        <w:pStyle w:val="Heading2"/>
      </w:pPr>
      <w:r>
        <w:rPr>
          <w:rFonts w:ascii="Arial" w:cs="Arial" w:eastAsia="Arial" w:hAnsi="Arial"/>
          <w:b/>
          <w:bCs/>
          <w:color w:val="CC0000"/>
          <w:sz w:val="28"/>
          <w:szCs w:val="28"/>
        </w:rPr>
        <w:t xml:space="preserve">Sexual Function &amp; Libido</w:t>
      </w:r>
    </w:p>
    <w:p>
      <w:pPr>
        <w:pStyle w:val="ListParagraph"/>
        <w:numPr>
          <w:ilvl w:val="0"/>
          <w:numId w:val="2"/>
        </w:numPr>
        <w:spacing w:after="80" w:line="300"/>
      </w:pPr>
      <w:r>
        <w:rPr>
          <w:rFonts w:ascii="Arial" w:cs="Arial" w:eastAsia="Arial" w:hAnsi="Arial"/>
          <w:b/>
          <w:bCs/>
          <w:color w:val="CC0000"/>
          <w:sz w:val="22"/>
          <w:szCs w:val="22"/>
        </w:rPr>
        <w:t xml:space="preserve">Pro-Erectile Effects: </w:t>
      </w:r>
      <w:r>
        <w:rPr>
          <w:rFonts w:ascii="Arial" w:cs="Arial" w:eastAsia="Arial" w:hAnsi="Arial"/>
          <w:color w:val="000000"/>
          <w:sz w:val="22"/>
          <w:szCs w:val="22"/>
        </w:rPr>
        <w:t xml:space="preserve">Clinically demonstrated efficacy in psychogenic and organic erectile dysfunction models.</w:t>
      </w:r>
    </w:p>
    <w:p>
      <w:pPr>
        <w:pStyle w:val="ListParagraph"/>
        <w:numPr>
          <w:ilvl w:val="0"/>
          <w:numId w:val="2"/>
        </w:numPr>
        <w:spacing w:after="80" w:line="300"/>
      </w:pPr>
      <w:r>
        <w:rPr>
          <w:rFonts w:ascii="Arial" w:cs="Arial" w:eastAsia="Arial" w:hAnsi="Arial"/>
          <w:b/>
          <w:bCs/>
          <w:color w:val="CC0000"/>
          <w:sz w:val="22"/>
          <w:szCs w:val="22"/>
        </w:rPr>
        <w:t xml:space="preserve">Female Arousal: </w:t>
      </w:r>
      <w:r>
        <w:rPr>
          <w:rFonts w:ascii="Arial" w:cs="Arial" w:eastAsia="Arial" w:hAnsi="Arial"/>
          <w:color w:val="000000"/>
          <w:sz w:val="22"/>
          <w:szCs w:val="22"/>
        </w:rPr>
        <w:t xml:space="preserve">Enhances sexual arousal and desire through central melanocortin pathways.</w:t>
      </w:r>
    </w:p>
    <w:p>
      <w:pPr>
        <w:pStyle w:val="ListParagraph"/>
        <w:numPr>
          <w:ilvl w:val="0"/>
          <w:numId w:val="2"/>
        </w:numPr>
        <w:spacing w:after="80" w:line="300"/>
      </w:pPr>
      <w:r>
        <w:rPr>
          <w:rFonts w:ascii="Arial" w:cs="Arial" w:eastAsia="Arial" w:hAnsi="Arial"/>
          <w:b/>
          <w:bCs/>
          <w:color w:val="CC0000"/>
          <w:sz w:val="22"/>
          <w:szCs w:val="22"/>
        </w:rPr>
        <w:t xml:space="preserve">Central Mechanism: </w:t>
      </w:r>
      <w:r>
        <w:rPr>
          <w:rFonts w:ascii="Arial" w:cs="Arial" w:eastAsia="Arial" w:hAnsi="Arial"/>
          <w:color w:val="000000"/>
          <w:sz w:val="22"/>
          <w:szCs w:val="22"/>
        </w:rPr>
        <w:t xml:space="preserve">Benefits subjects who do not respond to conventional vasodilator therapy.</w:t>
      </w:r>
    </w:p>
    <w:p>
      <w:pPr>
        <w:pStyle w:val="Heading2"/>
      </w:pPr>
      <w:r>
        <w:rPr>
          <w:rFonts w:ascii="Arial" w:cs="Arial" w:eastAsia="Arial" w:hAnsi="Arial"/>
          <w:b/>
          <w:bCs/>
          <w:color w:val="CC0000"/>
          <w:sz w:val="28"/>
          <w:szCs w:val="28"/>
        </w:rPr>
        <w:t xml:space="preserve">Appetite &amp; Body Composition</w:t>
      </w:r>
    </w:p>
    <w:p>
      <w:pPr>
        <w:pStyle w:val="ListParagraph"/>
        <w:numPr>
          <w:ilvl w:val="0"/>
          <w:numId w:val="2"/>
        </w:numPr>
        <w:spacing w:after="80" w:line="300"/>
      </w:pPr>
      <w:r>
        <w:rPr>
          <w:rFonts w:ascii="Arial" w:cs="Arial" w:eastAsia="Arial" w:hAnsi="Arial"/>
          <w:b/>
          <w:bCs/>
          <w:color w:val="CC0000"/>
          <w:sz w:val="22"/>
          <w:szCs w:val="22"/>
        </w:rPr>
        <w:t xml:space="preserve">Appetite Suppression: </w:t>
      </w:r>
      <w:r>
        <w:rPr>
          <w:rFonts w:ascii="Arial" w:cs="Arial" w:eastAsia="Arial" w:hAnsi="Arial"/>
          <w:color w:val="000000"/>
          <w:sz w:val="22"/>
          <w:szCs w:val="22"/>
        </w:rPr>
        <w:t xml:space="preserve">MC4R activation produces potent anorexigenic effects.</w:t>
      </w:r>
    </w:p>
    <w:p>
      <w:pPr>
        <w:pStyle w:val="ListParagraph"/>
        <w:numPr>
          <w:ilvl w:val="0"/>
          <w:numId w:val="2"/>
        </w:numPr>
        <w:spacing w:after="80" w:line="300"/>
      </w:pPr>
      <w:r>
        <w:rPr>
          <w:rFonts w:ascii="Arial" w:cs="Arial" w:eastAsia="Arial" w:hAnsi="Arial"/>
          <w:b/>
          <w:bCs/>
          <w:color w:val="CC0000"/>
          <w:sz w:val="22"/>
          <w:szCs w:val="22"/>
        </w:rPr>
        <w:t xml:space="preserve">Fat Loss: </w:t>
      </w:r>
      <w:r>
        <w:rPr>
          <w:rFonts w:ascii="Arial" w:cs="Arial" w:eastAsia="Arial" w:hAnsi="Arial"/>
          <w:color w:val="000000"/>
          <w:sz w:val="22"/>
          <w:szCs w:val="22"/>
        </w:rPr>
        <w:t xml:space="preserve">Chronic administration reduces adiposity through reduced intake and increased expenditure.</w:t>
      </w:r>
    </w:p>
    <w:p>
      <w:pPr>
        <w:pStyle w:val="ListParagraph"/>
        <w:numPr>
          <w:ilvl w:val="0"/>
          <w:numId w:val="2"/>
        </w:numPr>
        <w:spacing w:after="80" w:line="300"/>
      </w:pPr>
      <w:r>
        <w:rPr>
          <w:rFonts w:ascii="Arial" w:cs="Arial" w:eastAsia="Arial" w:hAnsi="Arial"/>
          <w:b/>
          <w:bCs/>
          <w:color w:val="CC0000"/>
          <w:sz w:val="22"/>
          <w:szCs w:val="22"/>
        </w:rPr>
        <w:t xml:space="preserve">Metabolic Rate: </w:t>
      </w:r>
      <w:r>
        <w:rPr>
          <w:rFonts w:ascii="Arial" w:cs="Arial" w:eastAsia="Arial" w:hAnsi="Arial"/>
          <w:color w:val="000000"/>
          <w:sz w:val="22"/>
          <w:szCs w:val="22"/>
        </w:rPr>
        <w:t xml:space="preserve">Enhanced sympathetic activity and thermogenesis.</w:t>
      </w:r>
    </w:p>
    <w:p>
      <w:pPr>
        <w:pStyle w:val="Heading2"/>
      </w:pPr>
      <w:r>
        <w:rPr>
          <w:rFonts w:ascii="Arial" w:cs="Arial" w:eastAsia="Arial" w:hAnsi="Arial"/>
          <w:b/>
          <w:bCs/>
          <w:color w:val="CC0000"/>
          <w:sz w:val="28"/>
          <w:szCs w:val="28"/>
        </w:rPr>
        <w:t xml:space="preserve">Anti-Inflammatory &amp; Protective</w:t>
      </w:r>
    </w:p>
    <w:p>
      <w:pPr>
        <w:pStyle w:val="ListParagraph"/>
        <w:numPr>
          <w:ilvl w:val="0"/>
          <w:numId w:val="2"/>
        </w:numPr>
        <w:spacing w:after="80" w:line="300"/>
      </w:pPr>
      <w:r>
        <w:rPr>
          <w:rFonts w:ascii="Arial" w:cs="Arial" w:eastAsia="Arial" w:hAnsi="Arial"/>
          <w:b/>
          <w:bCs/>
          <w:color w:val="CC0000"/>
          <w:sz w:val="22"/>
          <w:szCs w:val="22"/>
        </w:rPr>
        <w:t xml:space="preserve">Neuroprotection: </w:t>
      </w:r>
      <w:r>
        <w:rPr>
          <w:rFonts w:ascii="Arial" w:cs="Arial" w:eastAsia="Arial" w:hAnsi="Arial"/>
          <w:color w:val="000000"/>
          <w:sz w:val="22"/>
          <w:szCs w:val="22"/>
        </w:rPr>
        <w:t xml:space="preserve">Protective effects in cerebral ischemia and neuroinflammation models.</w:t>
      </w:r>
    </w:p>
    <w:p>
      <w:pPr>
        <w:pStyle w:val="ListParagraph"/>
        <w:numPr>
          <w:ilvl w:val="0"/>
          <w:numId w:val="2"/>
        </w:numPr>
        <w:spacing w:after="80" w:line="300"/>
      </w:pPr>
      <w:r>
        <w:rPr>
          <w:rFonts w:ascii="Arial" w:cs="Arial" w:eastAsia="Arial" w:hAnsi="Arial"/>
          <w:b/>
          <w:bCs/>
          <w:color w:val="CC0000"/>
          <w:sz w:val="22"/>
          <w:szCs w:val="22"/>
        </w:rPr>
        <w:t xml:space="preserve">Anti-Inflammatory: </w:t>
      </w:r>
      <w:r>
        <w:rPr>
          <w:rFonts w:ascii="Arial" w:cs="Arial" w:eastAsia="Arial" w:hAnsi="Arial"/>
          <w:color w:val="000000"/>
          <w:sz w:val="22"/>
          <w:szCs w:val="22"/>
        </w:rPr>
        <w:t xml:space="preserve">Reduces TNF-alpha, IL-6, and IL-1beta through melanocortin pathways.</w:t>
      </w:r>
    </w:p>
    <w:p>
      <w:pPr>
        <w:pStyle w:val="ListParagraph"/>
        <w:numPr>
          <w:ilvl w:val="0"/>
          <w:numId w:val="2"/>
        </w:numPr>
        <w:spacing w:after="80" w:line="300"/>
      </w:pPr>
      <w:r>
        <w:rPr>
          <w:rFonts w:ascii="Arial" w:cs="Arial" w:eastAsia="Arial" w:hAnsi="Arial"/>
          <w:b/>
          <w:bCs/>
          <w:color w:val="CC0000"/>
          <w:sz w:val="22"/>
          <w:szCs w:val="22"/>
        </w:rPr>
        <w:t xml:space="preserve">Cardioprotection: </w:t>
      </w:r>
      <w:r>
        <w:rPr>
          <w:rFonts w:ascii="Arial" w:cs="Arial" w:eastAsia="Arial" w:hAnsi="Arial"/>
          <w:color w:val="000000"/>
          <w:sz w:val="22"/>
          <w:szCs w:val="22"/>
        </w:rPr>
        <w:t xml:space="preserve">Protective effects in myocardial ischemia-reperfusion models.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Protocols typically include a loading phase followed by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Initial / Titration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0.1-0.25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3-5 days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Loading Phase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0.25-0.5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2-4 weeks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0.25-0.5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2-3x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Long-Term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0.5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10 mg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30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preferred), rotate sites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Timing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Evening administration may reduce nausea</w:t>
            </w:r>
          </w:p>
        </w:tc>
      </w:tr>
    </w:tbl>
    <w:p>
      <w:pPr>
        <w:spacing w:after="160" w:line="300"/>
      </w:pPr>
      <w:r>
        <w:rPr>
          <w:rFonts w:ascii="Arial" w:cs="Arial" w:eastAsia="Arial" w:hAnsi="Arial"/>
          <w:color w:val="000000"/>
          <w:sz w:val="22"/>
          <w:szCs w:val="22"/>
        </w:rPr>
        <w:t xml:space="preserve">Note: Starting with lower doses during titration helps assess tolerance and minimize nausea.</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Melanotan II has been extensively studied with the following safety considerations:</w:t>
      </w:r>
    </w:p>
    <w:p>
      <w:pPr>
        <w:pStyle w:val="ListParagraph"/>
        <w:numPr>
          <w:ilvl w:val="0"/>
          <w:numId w:val="2"/>
        </w:numPr>
        <w:spacing w:after="80" w:line="300"/>
      </w:pPr>
      <w:r>
        <w:rPr>
          <w:rFonts w:ascii="Arial" w:cs="Arial" w:eastAsia="Arial" w:hAnsi="Arial"/>
          <w:b/>
          <w:bCs/>
          <w:color w:val="CC0000"/>
          <w:sz w:val="22"/>
          <w:szCs w:val="22"/>
        </w:rPr>
        <w:t xml:space="preserve">Nausea: </w:t>
      </w:r>
      <w:r>
        <w:rPr>
          <w:rFonts w:ascii="Arial" w:cs="Arial" w:eastAsia="Arial" w:hAnsi="Arial"/>
          <w:color w:val="000000"/>
          <w:sz w:val="22"/>
          <w:szCs w:val="22"/>
        </w:rPr>
        <w:t xml:space="preserve">Most common side effect, particularly during loading. Transient and dose-dependent.</w:t>
      </w:r>
    </w:p>
    <w:p>
      <w:pPr>
        <w:pStyle w:val="ListParagraph"/>
        <w:numPr>
          <w:ilvl w:val="0"/>
          <w:numId w:val="2"/>
        </w:numPr>
        <w:spacing w:after="80" w:line="300"/>
      </w:pPr>
      <w:r>
        <w:rPr>
          <w:rFonts w:ascii="Arial" w:cs="Arial" w:eastAsia="Arial" w:hAnsi="Arial"/>
          <w:b/>
          <w:bCs/>
          <w:color w:val="CC0000"/>
          <w:sz w:val="22"/>
          <w:szCs w:val="22"/>
        </w:rPr>
        <w:t xml:space="preserve">Facial Flushing: </w:t>
      </w:r>
      <w:r>
        <w:rPr>
          <w:rFonts w:ascii="Arial" w:cs="Arial" w:eastAsia="Arial" w:hAnsi="Arial"/>
          <w:color w:val="000000"/>
          <w:sz w:val="22"/>
          <w:szCs w:val="22"/>
        </w:rPr>
        <w:t xml:space="preserve">Temporary warmth and flushing shortly after injection, resolves within 30 minutes.</w:t>
      </w:r>
    </w:p>
    <w:p>
      <w:pPr>
        <w:pStyle w:val="ListParagraph"/>
        <w:numPr>
          <w:ilvl w:val="0"/>
          <w:numId w:val="2"/>
        </w:numPr>
        <w:spacing w:after="80" w:line="300"/>
      </w:pPr>
      <w:r>
        <w:rPr>
          <w:rFonts w:ascii="Arial" w:cs="Arial" w:eastAsia="Arial" w:hAnsi="Arial"/>
          <w:b/>
          <w:bCs/>
          <w:color w:val="CC0000"/>
          <w:sz w:val="22"/>
          <w:szCs w:val="22"/>
        </w:rPr>
        <w:t xml:space="preserve">Appetite Suppression: </w:t>
      </w:r>
      <w:r>
        <w:rPr>
          <w:rFonts w:ascii="Arial" w:cs="Arial" w:eastAsia="Arial" w:hAnsi="Arial"/>
          <w:color w:val="000000"/>
          <w:sz w:val="22"/>
          <w:szCs w:val="22"/>
        </w:rPr>
        <w:t xml:space="preserve">Expected pharmacological effect of MC4R activation.</w:t>
      </w:r>
    </w:p>
    <w:p>
      <w:pPr>
        <w:pStyle w:val="ListParagraph"/>
        <w:numPr>
          <w:ilvl w:val="0"/>
          <w:numId w:val="2"/>
        </w:numPr>
        <w:spacing w:after="80" w:line="300"/>
      </w:pPr>
      <w:r>
        <w:rPr>
          <w:rFonts w:ascii="Arial" w:cs="Arial" w:eastAsia="Arial" w:hAnsi="Arial"/>
          <w:b/>
          <w:bCs/>
          <w:color w:val="CC0000"/>
          <w:sz w:val="22"/>
          <w:szCs w:val="22"/>
        </w:rPr>
        <w:t xml:space="preserve">Mole Changes: </w:t>
      </w:r>
      <w:r>
        <w:rPr>
          <w:rFonts w:ascii="Arial" w:cs="Arial" w:eastAsia="Arial" w:hAnsi="Arial"/>
          <w:color w:val="000000"/>
          <w:sz w:val="22"/>
          <w:szCs w:val="22"/>
        </w:rPr>
        <w:t xml:space="preserve">Darkening of existing moles and potential new pigmented lesions. Regular dermatological monitoring recommended.</w:t>
      </w:r>
    </w:p>
    <w:p>
      <w:pPr>
        <w:pStyle w:val="ListParagraph"/>
        <w:numPr>
          <w:ilvl w:val="0"/>
          <w:numId w:val="2"/>
        </w:numPr>
        <w:spacing w:after="80" w:line="300"/>
      </w:pPr>
      <w:r>
        <w:rPr>
          <w:rFonts w:ascii="Arial" w:cs="Arial" w:eastAsia="Arial" w:hAnsi="Arial"/>
          <w:b/>
          <w:bCs/>
          <w:color w:val="CC0000"/>
          <w:sz w:val="22"/>
          <w:szCs w:val="22"/>
        </w:rPr>
        <w:t xml:space="preserve">Fatigue: </w:t>
      </w:r>
      <w:r>
        <w:rPr>
          <w:rFonts w:ascii="Arial" w:cs="Arial" w:eastAsia="Arial" w:hAnsi="Arial"/>
          <w:color w:val="000000"/>
          <w:sz w:val="22"/>
          <w:szCs w:val="22"/>
        </w:rPr>
        <w:t xml:space="preserve">Mild drowsiness or yawning reported by some subjects.</w:t>
      </w:r>
    </w:p>
    <w:p>
      <w:pPr>
        <w:pStyle w:val="ListParagraph"/>
        <w:numPr>
          <w:ilvl w:val="0"/>
          <w:numId w:val="2"/>
        </w:numPr>
        <w:spacing w:after="80" w:line="300"/>
      </w:pPr>
      <w:r>
        <w:rPr>
          <w:rFonts w:ascii="Arial" w:cs="Arial" w:eastAsia="Arial" w:hAnsi="Arial"/>
          <w:b/>
          <w:bCs/>
          <w:color w:val="CC0000"/>
          <w:sz w:val="22"/>
          <w:szCs w:val="22"/>
        </w:rPr>
        <w:t xml:space="preserve">Cardiovascular: </w:t>
      </w:r>
      <w:r>
        <w:rPr>
          <w:rFonts w:ascii="Arial" w:cs="Arial" w:eastAsia="Arial" w:hAnsi="Arial"/>
          <w:color w:val="000000"/>
          <w:sz w:val="22"/>
          <w:szCs w:val="22"/>
        </w:rPr>
        <w:t xml:space="preserve">Mild heart rate and blood pressure increases observed in some studies.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Personal or family history of melanoma or atypical mole syndrome. Uncontrolled cardiovascular disease. Pregnancy not recommended.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Hadley ME, Dorr RT. Melanocortin Peptide Therapeutics: Historical Milestones, Clinical Studies and Commercialization. Peptides. 2006;27(4):921-930.</w:t>
      </w:r>
    </w:p>
    <w:p>
      <w:pPr>
        <w:pStyle w:val="ListParagraph"/>
        <w:numPr>
          <w:ilvl w:val="0"/>
          <w:numId w:val="3"/>
        </w:numPr>
        <w:spacing w:after="80" w:line="300"/>
      </w:pPr>
      <w:r>
        <w:rPr>
          <w:rFonts w:ascii="Arial" w:cs="Arial" w:eastAsia="Arial" w:hAnsi="Arial"/>
          <w:color w:val="000000"/>
          <w:sz w:val="20"/>
          <w:szCs w:val="20"/>
        </w:rPr>
        <w:t xml:space="preserve">Dorr RT, et al. Evaluation of Melanotan-II in a Pilot Phase-I Clinical Study. Life Sciences. 1996;58(20):1777-1784.</w:t>
      </w:r>
    </w:p>
    <w:p>
      <w:pPr>
        <w:pStyle w:val="ListParagraph"/>
        <w:numPr>
          <w:ilvl w:val="0"/>
          <w:numId w:val="3"/>
        </w:numPr>
        <w:spacing w:after="80" w:line="300"/>
      </w:pPr>
      <w:r>
        <w:rPr>
          <w:rFonts w:ascii="Arial" w:cs="Arial" w:eastAsia="Arial" w:hAnsi="Arial"/>
          <w:color w:val="000000"/>
          <w:sz w:val="20"/>
          <w:szCs w:val="20"/>
        </w:rPr>
        <w:t xml:space="preserve">Wessells H, et al. Synthetic Melanotropic Peptide Initiates Erections in Men with Psychogenic Erectile Dysfunction. Journal of Urology. 1998;160(2):389-393.</w:t>
      </w:r>
    </w:p>
    <w:p>
      <w:pPr>
        <w:pStyle w:val="ListParagraph"/>
        <w:numPr>
          <w:ilvl w:val="0"/>
          <w:numId w:val="3"/>
        </w:numPr>
        <w:spacing w:after="80" w:line="300"/>
      </w:pPr>
      <w:r>
        <w:rPr>
          <w:rFonts w:ascii="Arial" w:cs="Arial" w:eastAsia="Arial" w:hAnsi="Arial"/>
          <w:color w:val="000000"/>
          <w:sz w:val="20"/>
          <w:szCs w:val="20"/>
        </w:rPr>
        <w:t xml:space="preserve">Hruby VJ, et al. Design of Novel Melanocortin Receptor Ligands. European Journal of Pharmacology. 2011;660(1):88-93.</w:t>
      </w:r>
    </w:p>
    <w:p>
      <w:pPr>
        <w:pStyle w:val="ListParagraph"/>
        <w:numPr>
          <w:ilvl w:val="0"/>
          <w:numId w:val="3"/>
        </w:numPr>
        <w:spacing w:after="80" w:line="300"/>
      </w:pPr>
      <w:r>
        <w:rPr>
          <w:rFonts w:ascii="Arial" w:cs="Arial" w:eastAsia="Arial" w:hAnsi="Arial"/>
          <w:color w:val="000000"/>
          <w:sz w:val="20"/>
          <w:szCs w:val="20"/>
        </w:rPr>
        <w:t xml:space="preserve">Langan EA, et al. Melanotropic Peptides: More Than Just Sun-Tan Jabs? British Journal of Dermatology. 2010;163(3):451-455.</w:t>
      </w:r>
    </w:p>
    <w:p>
      <w:pPr>
        <w:pStyle w:val="ListParagraph"/>
        <w:numPr>
          <w:ilvl w:val="0"/>
          <w:numId w:val="3"/>
        </w:numPr>
        <w:spacing w:after="80" w:line="300"/>
      </w:pPr>
      <w:r>
        <w:rPr>
          <w:rFonts w:ascii="Arial" w:cs="Arial" w:eastAsia="Arial" w:hAnsi="Arial"/>
          <w:color w:val="000000"/>
          <w:sz w:val="20"/>
          <w:szCs w:val="20"/>
        </w:rPr>
        <w:t xml:space="preserve">Catania A, et al. Targeting Melanocortin Receptors as a Novel Strategy to Control Inflammation. Pharmacological Reviews. 2004;56(1):1-29.</w:t>
      </w:r>
    </w:p>
    <w:p>
      <w:pPr>
        <w:pStyle w:val="ListParagraph"/>
        <w:numPr>
          <w:ilvl w:val="0"/>
          <w:numId w:val="3"/>
        </w:numPr>
        <w:spacing w:after="80" w:line="300"/>
      </w:pPr>
      <w:r>
        <w:rPr>
          <w:rFonts w:ascii="Arial" w:cs="Arial" w:eastAsia="Arial" w:hAnsi="Arial"/>
          <w:color w:val="000000"/>
          <w:sz w:val="20"/>
          <w:szCs w:val="20"/>
        </w:rPr>
        <w:t xml:space="preserve">Cone RD. Studies on the Physiological Functions of the Melanocortin System. Endocrine Reviews. 2006;27(7):736-749.</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Melanotan II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Melanotan II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Melanotan II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2026-03-28T14:18:09.500Z</dcterms:created>
  <dcterms:modified xsi:type="dcterms:W3CDTF">2026-03-28T14:18:09.500Z</dcterms:modified>
</cp:coreProperties>
</file>

<file path=docProps/custom.xml><?xml version="1.0" encoding="utf-8"?>
<Properties xmlns="http://schemas.openxmlformats.org/officeDocument/2006/custom-properties" xmlns:vt="http://schemas.openxmlformats.org/officeDocument/2006/docPropsVTypes"/>
</file>