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val="0"/>
          <w:color w:val="999999"/>
          <w:sz w:val="22"/>
        </w:rPr>
      </w:r>
    </w:p>
    <w:p>
      <w:pPr>
        <w:jc w:val="center"/>
      </w:pPr>
      <w:r>
        <w:rPr>
          <w:rFonts w:ascii="Arial" w:hAnsi="Arial"/>
          <w:b w:val="0"/>
          <w:color w:val="999999"/>
          <w:sz w:val="22"/>
        </w:rPr>
        <w:t>PEPTIDE RESEARCH BRIEF</w:t>
      </w:r>
    </w:p>
    <w:p>
      <w:pPr>
        <w:jc w:val="center"/>
      </w:pPr>
      <w:r>
        <w:rPr>
          <w:rFonts w:ascii="Arial" w:hAnsi="Arial"/>
          <w:b/>
          <w:color w:val="CC0000"/>
          <w:sz w:val="64"/>
        </w:rPr>
        <w:t>Epithalon</w:t>
      </w:r>
    </w:p>
    <w:p>
      <w:pPr>
        <w:jc w:val="center"/>
      </w:pPr>
      <w:r>
        <w:rPr>
          <w:rFonts w:ascii="Arial" w:hAnsi="Arial"/>
          <w:b w:val="0"/>
          <w:color w:val="555555"/>
          <w:sz w:val="22"/>
        </w:rPr>
        <w:t>Synthetic Tetrapeptide (AEDG) | Telomerase Activator &amp; Pineal Bioregulator</w:t>
      </w:r>
    </w:p>
    <w:p>
      <w:pPr>
        <w:jc w:val="center"/>
      </w:pPr>
      <w:r>
        <w:rPr>
          <w:rFonts w:ascii="Arial" w:hAnsi="Arial"/>
          <w:b w:val="0"/>
          <w:color w:val="999999"/>
          <w:sz w:val="22"/>
        </w:rPr>
      </w:r>
    </w:p>
    <w:p>
      <w:pPr>
        <w:jc w:val="center"/>
      </w:pPr>
      <w:r>
        <w:rPr>
          <w:rFonts w:ascii="Arial" w:hAnsi="Arial"/>
          <w:b w:val="0"/>
          <w:color w:val="333333"/>
          <w:sz w:val="24"/>
        </w:rPr>
        <w:t>Description, Benefits, Dosage &amp; Research Overview</w:t>
      </w:r>
    </w:p>
    <w:p>
      <w:pPr>
        <w:jc w:val="center"/>
      </w:pPr>
      <w:r>
        <w:rPr>
          <w:rFonts w:ascii="Arial" w:hAnsi="Arial"/>
          <w:b w:val="0"/>
          <w:color w:val="999999"/>
          <w:sz w:val="22"/>
        </w:rPr>
      </w:r>
    </w:p>
    <w:p>
      <w:pPr>
        <w:jc w:val="center"/>
      </w:pPr>
      <w:r>
        <w:rPr>
          <w:rFonts w:ascii="Arial" w:hAnsi="Arial"/>
          <w:b/>
          <w:color w:val="CC0000"/>
          <w:sz w:val="26"/>
        </w:rPr>
        <w:t>Iron Cell Research</w:t>
      </w:r>
    </w:p>
    <w:p>
      <w:pPr>
        <w:jc w:val="center"/>
      </w:pPr>
      <w:r>
        <w:rPr>
          <w:rFonts w:ascii="Arial" w:hAnsi="Arial"/>
          <w:b w:val="0"/>
          <w:color w:val="333333"/>
          <w:sz w:val="22"/>
        </w:rPr>
        <w:t>IronCellResearch.com</w:t>
      </w:r>
    </w:p>
    <w:p>
      <w:pPr>
        <w:jc w:val="center"/>
      </w:pPr>
      <w:r>
        <w:rPr>
          <w:rFonts w:ascii="Arial" w:hAnsi="Arial"/>
          <w:b w:val="0"/>
          <w:color w:val="999999"/>
          <w:sz w:val="22"/>
        </w:rPr>
        <w:t>For Research Use Only</w:t>
      </w:r>
    </w:p>
    <w:p>
      <w:pPr>
        <w:jc w:val="center"/>
      </w:pPr>
      <w:r>
        <w:rPr>
          <w:rFonts w:ascii="Arial" w:hAnsi="Arial"/>
          <w:b w:val="0"/>
          <w:color w:val="999999"/>
          <w:sz w:val="22"/>
        </w:rPr>
      </w:r>
    </w:p>
    <w:p>
      <w:pPr>
        <w:pStyle w:val="Heading1"/>
      </w:pPr>
      <w:r>
        <w:t>Compound Overview</w:t>
      </w:r>
    </w:p>
    <w:p>
      <w:pPr>
        <w:pStyle w:val="Heading1"/>
      </w:pPr>
      <w:r>
        <w:t>Description</w:t>
      </w:r>
    </w:p>
    <w:p>
      <w:r>
        <w:t>Epithalon (also written as Epitalon or AEDG) is a synthetic tetrapeptide composed of four amino acids — Alanine-Glutamic Acid-Aspartic Acid-Glycine — derived from the natural pineal gland peptide epithalamin. It was first developed in the 1980s by the Russian gerontologist Vladimir Khavinson and colleagues at the St. Petersburg Institute of Bioregulation and Gerontology as part of an extensive research program into peptide bioregulators of aging.</w:t>
      </w:r>
    </w:p>
    <w:p>
      <w:r>
        <w:t>In laboratory research, epithalon is most widely studied for its proposed effects on telomerase enzyme activity, the regulation of circadian rhythms via the pineal-melatonin axis, and downstream effects on cellular aging, antioxidant defense, and neuroendocrine balance. Studies in cell cultures, rodents, and limited human observational cohorts have explored its relevance to longevity, sleep quality, and age-related decline of physiological function.</w:t>
      </w:r>
    </w:p>
    <w:p>
      <w:r>
        <w:t>Supplied as a high-purity lyophilized powder in 50mg vials for in vitro and in vivo research applications only. Not for human consumption.</w:t>
      </w:r>
    </w:p>
    <w:p>
      <w:pPr>
        <w:pStyle w:val="Heading1"/>
      </w:pPr>
      <w:r>
        <w:t>Mechanism of Action</w:t>
      </w:r>
    </w:p>
    <w:p>
      <w:pPr>
        <w:pStyle w:val="Heading2"/>
      </w:pPr>
      <w:r>
        <w:t>Telomerase Activation</w:t>
      </w:r>
    </w:p>
    <w:p>
      <w:r>
        <w:t>Epithalon's most distinctive and most-studied mechanism is upregulation of telomerase, the enzyme that maintains the protective telomere caps at the ends of chromosomes. In cultured human somatic cells with limited replicative capacity, epithalon has been reported to induce telomerase expression and lengthen telomeres, extending the proliferative lifespan of those cells. This activity has driven extensive research interest in cellular senescence and replicative aging.</w:t>
      </w:r>
    </w:p>
    <w:p>
      <w:pPr>
        <w:pStyle w:val="Heading2"/>
      </w:pPr>
      <w:r>
        <w:t>Pineal &amp; Melatonin Regulation</w:t>
      </w:r>
    </w:p>
    <w:p>
      <w:r>
        <w:t>Derived from a pineal peptide fraction, epithalon is studied for its capacity to normalize the circadian secretion of melatonin and re-establish age-disrupted day-night rhythms. Research in older animals and humans has reported restored or improved nocturnal melatonin patterns, with downstream effects on sleep architecture and antioxidant defense.</w:t>
      </w:r>
    </w:p>
    <w:p>
      <w:pPr>
        <w:pStyle w:val="Heading2"/>
      </w:pPr>
      <w:r>
        <w:t>Gene Expression &amp; Epigenetic Effects</w:t>
      </w:r>
    </w:p>
    <w:p>
      <w:r>
        <w:t>Epithalon has been reported to modulate the expression of multiple aging-related genes in cell culture and animal tissues, including changes in heterochromatin organization and selected DNA methylation patterns. These effects are studied in the context of cellular reprogramming, neuroendocrine balance, and stress-response gene activity.</w:t>
      </w:r>
    </w:p>
    <w:p>
      <w:pPr>
        <w:pStyle w:val="Heading2"/>
      </w:pPr>
      <w:r>
        <w:t>Antioxidant &amp; Anti-Tumor Activity</w:t>
      </w:r>
    </w:p>
    <w:p>
      <w:r>
        <w:t>Across rodent and cell-based studies, epithalon has been associated with reduced markers of oxidative damage and, in some long-term carcinogenesis models, with reduced incidence of spontaneous tumors. These observations are interpreted as part of the peptide's broader bioregulatory profile rather than as direct anti-cancer activity.</w:t>
      </w:r>
    </w:p>
    <w:p>
      <w:pPr>
        <w:pStyle w:val="Heading1"/>
      </w:pPr>
      <w:r>
        <w:t>Research Benefits</w:t>
      </w:r>
    </w:p>
    <w:p>
      <w:pPr>
        <w:pStyle w:val="Heading2"/>
      </w:pPr>
      <w:r>
        <w:t>Longevity &amp; Cellular Aging</w:t>
      </w:r>
    </w:p>
    <w:p>
      <w:pPr>
        <w:pStyle w:val="ListParagraph"/>
      </w:pPr>
      <w:r>
        <w:t>Telomere Maintenance: Studied for upregulation of telomerase and extension of replicative lifespan in cultured human fibroblasts and other somatic cells.</w:t>
      </w:r>
    </w:p>
    <w:p>
      <w:pPr>
        <w:pStyle w:val="ListParagraph"/>
      </w:pPr>
      <w:r>
        <w:t>Lifespan Extension Models: Associated with increased mean and maximum lifespan in long-running rodent carcinogenesis and aging studies.</w:t>
      </w:r>
    </w:p>
    <w:p>
      <w:pPr>
        <w:pStyle w:val="ListParagraph"/>
      </w:pPr>
      <w:r>
        <w:t>Cellular Senescence: Investigated for delaying markers of senescence and supporting proliferative capacity of aged cell populations.</w:t>
      </w:r>
    </w:p>
    <w:p>
      <w:pPr>
        <w:pStyle w:val="Heading2"/>
      </w:pPr>
      <w:r>
        <w:t>Sleep &amp; Circadian Research</w:t>
      </w:r>
    </w:p>
    <w:p>
      <w:pPr>
        <w:pStyle w:val="ListParagraph"/>
      </w:pPr>
      <w:r>
        <w:t>Melatonin Rhythm: Studied for restoration of nocturnal melatonin peaks disrupted by aging or shift work in research models.</w:t>
      </w:r>
    </w:p>
    <w:p>
      <w:pPr>
        <w:pStyle w:val="ListParagraph"/>
      </w:pPr>
      <w:r>
        <w:t>Sleep Architecture: Investigated for support of deep, restorative sleep and normalization of sleep-wake patterns.</w:t>
      </w:r>
    </w:p>
    <w:p>
      <w:pPr>
        <w:pStyle w:val="ListParagraph"/>
      </w:pPr>
      <w:r>
        <w:t>Jet-Lag &amp; Shift Adaptation: Explored in research contexts where pineal rhythm disruption is the central variable.</w:t>
      </w:r>
    </w:p>
    <w:p>
      <w:pPr>
        <w:pStyle w:val="Heading2"/>
      </w:pPr>
      <w:r>
        <w:t>Neuroendocrine &amp; Metabolic Research</w:t>
      </w:r>
    </w:p>
    <w:p>
      <w:pPr>
        <w:pStyle w:val="ListParagraph"/>
      </w:pPr>
      <w:r>
        <w:t>HPA-Axis Modulation: Investigated for effects on cortisol rhythm, stress reactivity, and pituitary hormone secretion patterns.</w:t>
      </w:r>
    </w:p>
    <w:p>
      <w:pPr>
        <w:pStyle w:val="ListParagraph"/>
      </w:pPr>
      <w:r>
        <w:t>Antioxidant Capacity: Studied for elevation of endogenous antioxidant defenses, including superoxide dismutase and glutathione systems.</w:t>
      </w:r>
    </w:p>
    <w:p>
      <w:pPr>
        <w:pStyle w:val="ListParagraph"/>
      </w:pPr>
      <w:r>
        <w:t>Glucose &amp; Lipid Markers: Explored in aged research models for improvements in glycemic and lipid parameters.</w:t>
      </w:r>
    </w:p>
    <w:p>
      <w:pPr>
        <w:pStyle w:val="Heading2"/>
      </w:pPr>
      <w:r>
        <w:t>Immune &amp; Ocular Research</w:t>
      </w:r>
    </w:p>
    <w:p>
      <w:pPr>
        <w:pStyle w:val="ListParagraph"/>
      </w:pPr>
      <w:r>
        <w:t>Immunomodulation: Investigated for restoration of age-declining T-cell function and reduced markers of immunosenescence.</w:t>
      </w:r>
    </w:p>
    <w:p>
      <w:pPr>
        <w:pStyle w:val="ListParagraph"/>
      </w:pPr>
      <w:r>
        <w:t>Retinal Research: Studied in degenerative-retinopathy models for support of retinal cell function and visual processing.</w:t>
      </w:r>
    </w:p>
    <w:p>
      <w:pPr>
        <w:pStyle w:val="ListParagraph"/>
      </w:pPr>
      <w:r>
        <w:t>General Vitality Markers: Reported improvements in physical performance, recovery, and subjective wellbeing in observational aging cohorts.</w:t>
      </w:r>
    </w:p>
    <w:p>
      <w:pPr>
        <w:pStyle w:val="Heading1"/>
      </w:pPr>
      <w:r>
        <w:t>Dosage &amp; Administration</w:t>
      </w:r>
    </w:p>
    <w:p>
      <w:r>
        <w:t>The following dosage information is provided for research reference purposes only. Epithalon is typically reconstituted with bacteriostatic water and administered by subcutaneous injection in research settings, although intranasal and intramuscular routes have also been reported.</w:t>
      </w:r>
    </w:p>
    <w:p>
      <w:r>
        <w:t>Standard research dosing ranges from 1mg to 10mg per administration, typically delivered in short cycles of 10–20 consecutive days, with cycles repeated 1–4 times per year depending on the study protocol. A common research cycle uses 5mg per day for 10 days, repeated twice per year.</w:t>
      </w:r>
    </w:p>
    <w:p>
      <w:pPr>
        <w:pStyle w:val="Heading2"/>
      </w:pPr>
      <w:r>
        <w:t>Reconstitution Guidelines</w:t>
      </w:r>
    </w:p>
    <w:p>
      <w:r>
        <w:t>A 50mg vial reconstituted with 2.5mL of bacteriostatic water yields 20mg per mL. With this concentration, a 0.25mL (25 unit on a U100 syringe) draw delivers 5mg. Adjust water volume to match the syringe and per-dose research target.</w:t>
      </w:r>
    </w:p>
    <w:p>
      <w:pPr>
        <w:pStyle w:val="Heading1"/>
      </w:pPr>
      <w:r>
        <w:t>Safety Profile</w:t>
      </w:r>
    </w:p>
    <w:p>
      <w:r>
        <w:t>Across decades of preclinical and observational research in older adults, epithalon has shown a favorable safety profile:</w:t>
      </w:r>
    </w:p>
    <w:p>
      <w:pPr>
        <w:pStyle w:val="ListParagraph"/>
      </w:pPr>
      <w:r>
        <w:t>General Tolerability: Reported as well tolerated across the typical research dose range, with no significant adverse events recorded in long-term observational cohorts.</w:t>
      </w:r>
    </w:p>
    <w:p>
      <w:pPr>
        <w:pStyle w:val="ListParagraph"/>
      </w:pPr>
      <w:r>
        <w:t>Hormonal Effects: No marked disruption of pituitary, thyroid, or gonadal axes is typically observed at standard research doses.</w:t>
      </w:r>
    </w:p>
    <w:p>
      <w:pPr>
        <w:pStyle w:val="ListParagraph"/>
      </w:pPr>
      <w:r>
        <w:t>Allergic Response: As a short synthetic peptide, immunogenicity is low; rare hypersensitivity reactions remain possible.</w:t>
      </w:r>
    </w:p>
    <w:p>
      <w:pPr>
        <w:pStyle w:val="ListParagraph"/>
      </w:pPr>
      <w:r>
        <w:t>Injection Site: Mild, transient redness or tenderness may occur with subcutaneous administration.</w:t>
      </w:r>
    </w:p>
    <w:p>
      <w:pPr>
        <w:pStyle w:val="ListParagraph"/>
      </w:pPr>
      <w:r>
        <w:t>Cancer Caution: Although long-term rodent studies suggest reduced tumor incidence, telomerase activation is a topic of active research debate; protocols involving active malignancy should be reviewed carefully.</w:t>
      </w:r>
    </w:p>
    <w:p>
      <w:pPr>
        <w:pStyle w:val="ListParagraph"/>
      </w:pPr>
      <w:r>
        <w:t>Pregnancy &amp; Nursing: Insufficient safety data; not recommended in pregnancy or lactation.</w:t>
      </w:r>
    </w:p>
    <w:p>
      <w:pPr>
        <w:pStyle w:val="ListParagraph"/>
      </w:pPr>
      <w:r>
        <w:t>Drug Interactions: No significant interactions identified in the published research literature.</w:t>
      </w:r>
    </w:p>
    <w:p>
      <w:pPr>
        <w:pStyle w:val="Heading1"/>
      </w:pPr>
      <w:r>
        <w:t>Key References</w:t>
      </w:r>
    </w:p>
    <w:p>
      <w:pPr>
        <w:pStyle w:val="ListParagraph"/>
      </w:pPr>
      <w:r>
        <w:t>Khavinson VK, et al. Peptide Epitalon Activates Chromatin at the Old Age. Neuroendocrinology Letters. 2003;24(5):329-333.</w:t>
      </w:r>
    </w:p>
    <w:p>
      <w:pPr>
        <w:pStyle w:val="ListParagraph"/>
      </w:pPr>
      <w:r>
        <w:t>Khavinson VK, et al. Epithalon Peptide Induces Telomerase Activity and Telomere Elongation in Human Somatic Cells. Bulletin of Experimental Biology and Medicine. 2003;135(6):590-592.</w:t>
      </w:r>
    </w:p>
    <w:p>
      <w:pPr>
        <w:pStyle w:val="ListParagraph"/>
      </w:pPr>
      <w:r>
        <w:t>Anisimov VN, Khavinson VK. Peptide Bioregulation of Aging: Results and Prospects. Biogerontology. 2010;11(2):139-149.</w:t>
      </w:r>
    </w:p>
    <w:p>
      <w:pPr>
        <w:pStyle w:val="ListParagraph"/>
      </w:pPr>
      <w:r>
        <w:t>Korkushko OV, et al. Geroprotective Effects of Epithalamin Peptide Preparation in Elderly Patients. Advances in Gerontology. 2006;19:75-82.</w:t>
      </w:r>
    </w:p>
    <w:p>
      <w:pPr>
        <w:pStyle w:val="ListParagraph"/>
      </w:pPr>
      <w:r>
        <w:t>Khavinson VK, Morozov VG. Peptides of Pineal Gland and Thymus Prolong Human Life. Neuroendocrinology Letters. 2003;24(3-4):233-240.</w:t>
      </w:r>
    </w:p>
    <w:p>
      <w:pPr>
        <w:pStyle w:val="ListParagraph"/>
      </w:pPr>
      <w:r>
        <w:t>Goncharova ND, et al. Effect of Epithalon on Biomarkers of Aging and Lifespan in Rhesus Macaques. Bulletin of Experimental Biology and Medicine. 2005;140(4):485-488.</w:t>
      </w:r>
    </w:p>
    <w:p>
      <w:pPr>
        <w:pStyle w:val="ListParagraph"/>
      </w:pPr>
      <w:r>
        <w:t>Anisimov VN, et al. Effect of Epithalon on Spontaneous Tumor Incidence and Lifespan in Mice. Mechanisms of Ageing and Development. 2003;124(1):91-99.</w:t>
      </w:r>
    </w:p>
    <w:p>
      <w:pPr>
        <w:pStyle w:val="Heading1"/>
      </w:pPr>
      <w:r>
        <w:t>Contact &amp; Information</w:t>
      </w:r>
    </w:p>
    <w:p>
      <w:r>
        <w:t>Iron Cell Research | IronCellResearch.com — For research inquiries, certificates of analysis, or product information, contact our research support team. All products are sold strictly for laboratory research use only.</w:t>
      </w:r>
    </w:p>
    <w:p>
      <w:pPr>
        <w:pStyle w:val="Heading1"/>
      </w:pPr>
      <w:r>
        <w:t>Disclaimer</w:t>
      </w:r>
    </w:p>
    <w:p>
      <w:r>
        <w:t>This document is intended for informational and research purposes only. Epithalon is sold as a research compound and is not intended for human consumption, diagnosis, treatment, or prevention of any disease. The information provided does not constitute medical advice. All research with this compound should be conducted by qualified researchers in appropriate laboratory settings and in compliance with applicable laws and institutional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