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NAD+</w:t>
      </w:r>
    </w:p>
    <w:p>
      <w:pPr>
        <w:pBdr>
          <w:bottom w:val="single" w:color="CC0000" w:sz="6" w:space="8"/>
        </w:pBdr>
        <w:spacing w:after="100"/>
        <w:jc w:val="center"/>
      </w:pPr>
      <w:r>
        <w:rPr>
          <w:rFonts w:ascii="Arial" w:cs="Arial" w:eastAsia="Arial" w:hAnsi="Arial"/>
          <w:color w:val="555555"/>
          <w:sz w:val="22"/>
          <w:szCs w:val="22"/>
        </w:rPr>
        <w:t xml:space="preserve">Nicotinamide Adenine Dinucleotide | Cellular Energy &amp; Longevity Coenzyme</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NAD+ (Nicotinamide Adenine Dinucleotide)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Coenzyme / Dinucleotide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C21H27N7O14P2</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663.43 g/mol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53-84-9</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1-4 hours (tissue dependent)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Lyophilized, -20C to 4C, protected from light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Extensive preclinical &amp; clinical research</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NAD+ is a critical coenzyme found in every living cell. It plays a central role in cellular energy metabolism, serving as an essential electron carrier in the mitochondrial electron transport chain and as a key substrate for enzymes involved in DNA repair, gene expression, and cellular signaling.</w:t>
      </w:r>
    </w:p>
    <w:p>
      <w:pPr>
        <w:spacing w:after="160" w:line="300"/>
      </w:pPr>
      <w:r>
        <w:rPr>
          <w:rFonts w:ascii="Arial" w:cs="Arial" w:eastAsia="Arial" w:hAnsi="Arial"/>
          <w:color w:val="000000"/>
          <w:sz w:val="22"/>
          <w:szCs w:val="22"/>
        </w:rPr>
        <w:t xml:space="preserve">NAD+ levels naturally decline with age, and this decline has been linked to metabolic dysfunction, neurodegeneration, cardiovascular disease, and impaired immune function. Direct NAD+ supplementation provides the fully formed coenzyme, bypassing the need for biosynthetic conversion steps required by precursors such as NMN or NR.</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Mitochondrial Energy Production</w:t>
      </w:r>
    </w:p>
    <w:p>
      <w:pPr>
        <w:spacing w:after="160" w:line="300"/>
      </w:pPr>
      <w:r>
        <w:rPr>
          <w:rFonts w:ascii="Arial" w:cs="Arial" w:eastAsia="Arial" w:hAnsi="Arial"/>
          <w:color w:val="000000"/>
          <w:sz w:val="22"/>
          <w:szCs w:val="22"/>
        </w:rPr>
        <w:t xml:space="preserve">NAD+ functions as a primary electron carrier in the mitochondrial electron transport chain. It accepts electrons during the citric acid cycle (as NADH) and donates them to Complex I of the respiratory chain, driving oxidative phosphorylation and ATP synthesis.</w:t>
      </w:r>
    </w:p>
    <w:p>
      <w:pPr>
        <w:pStyle w:val="Heading2"/>
      </w:pPr>
      <w:r>
        <w:rPr>
          <w:rFonts w:ascii="Arial" w:cs="Arial" w:eastAsia="Arial" w:hAnsi="Arial"/>
          <w:b/>
          <w:bCs/>
          <w:color w:val="CC0000"/>
          <w:sz w:val="28"/>
          <w:szCs w:val="28"/>
        </w:rPr>
        <w:t xml:space="preserve">Sirtuin Activation</w:t>
      </w:r>
    </w:p>
    <w:p>
      <w:pPr>
        <w:spacing w:after="160" w:line="300"/>
      </w:pPr>
      <w:r>
        <w:rPr>
          <w:rFonts w:ascii="Arial" w:cs="Arial" w:eastAsia="Arial" w:hAnsi="Arial"/>
          <w:color w:val="000000"/>
          <w:sz w:val="22"/>
          <w:szCs w:val="22"/>
        </w:rPr>
        <w:t xml:space="preserve">NAD+ is the obligate co-substrate for sirtuins (SIRT1-SIRT7), a family of NAD+-dependent deacylases. Sirtuins regulate gene silencing, DNA repair, mitochondrial biogenesis, inflammation, and stress resistance. Higher NAD+ levels enhance sirtuin activity, promoting cellular resilience and longevity pathways.</w:t>
      </w:r>
    </w:p>
    <w:p>
      <w:pPr>
        <w:pStyle w:val="Heading2"/>
      </w:pPr>
      <w:r>
        <w:rPr>
          <w:rFonts w:ascii="Arial" w:cs="Arial" w:eastAsia="Arial" w:hAnsi="Arial"/>
          <w:b/>
          <w:bCs/>
          <w:color w:val="CC0000"/>
          <w:sz w:val="28"/>
          <w:szCs w:val="28"/>
        </w:rPr>
        <w:t xml:space="preserve">DNA Repair &amp; Genome Integrity</w:t>
      </w:r>
    </w:p>
    <w:p>
      <w:pPr>
        <w:spacing w:after="160" w:line="300"/>
      </w:pPr>
      <w:r>
        <w:rPr>
          <w:rFonts w:ascii="Arial" w:cs="Arial" w:eastAsia="Arial" w:hAnsi="Arial"/>
          <w:color w:val="000000"/>
          <w:sz w:val="22"/>
          <w:szCs w:val="22"/>
        </w:rPr>
        <w:t xml:space="preserve">NAD+ is consumed by poly(ADP-ribose) polymerases (PARPs), particularly PARP1 and PARP2, which are critical in the DNA damage response. PARPs use NAD+ to synthesize poly(ADP-ribose) chains that recruit repair machinery to damaged sites.</w:t>
      </w:r>
    </w:p>
    <w:p>
      <w:pPr>
        <w:pStyle w:val="Heading2"/>
      </w:pPr>
      <w:r>
        <w:rPr>
          <w:rFonts w:ascii="Arial" w:cs="Arial" w:eastAsia="Arial" w:hAnsi="Arial"/>
          <w:b/>
          <w:bCs/>
          <w:color w:val="CC0000"/>
          <w:sz w:val="28"/>
          <w:szCs w:val="28"/>
        </w:rPr>
        <w:t xml:space="preserve">Immune &amp; Inflammatory Regulation</w:t>
      </w:r>
    </w:p>
    <w:p>
      <w:pPr>
        <w:spacing w:after="160" w:line="300"/>
      </w:pPr>
      <w:r>
        <w:rPr>
          <w:rFonts w:ascii="Arial" w:cs="Arial" w:eastAsia="Arial" w:hAnsi="Arial"/>
          <w:color w:val="000000"/>
          <w:sz w:val="22"/>
          <w:szCs w:val="22"/>
        </w:rPr>
        <w:t xml:space="preserve">NAD+ is a substrate for CD38, an ectoenzyme on immune cells that generates the calcium-mobilizing messenger cyclic ADP-ribose. CD38 activity increases with age and chronic inflammation, contributing significantly to age-related NAD+ decline. NAD+ repletion modulates inflammatory responses and supports immune cell function.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Anti-Aging &amp; Longevity</w:t>
      </w:r>
    </w:p>
    <w:p>
      <w:pPr>
        <w:pStyle w:val="ListParagraph"/>
        <w:numPr>
          <w:ilvl w:val="0"/>
          <w:numId w:val="2"/>
        </w:numPr>
        <w:spacing w:after="80" w:line="300"/>
      </w:pPr>
      <w:r>
        <w:rPr>
          <w:rFonts w:ascii="Arial" w:cs="Arial" w:eastAsia="Arial" w:hAnsi="Arial"/>
          <w:b/>
          <w:bCs/>
          <w:color w:val="CC0000"/>
          <w:sz w:val="22"/>
          <w:szCs w:val="22"/>
        </w:rPr>
        <w:t xml:space="preserve">Cellular Rejuvenation: </w:t>
      </w:r>
      <w:r>
        <w:rPr>
          <w:rFonts w:ascii="Arial" w:cs="Arial" w:eastAsia="Arial" w:hAnsi="Arial"/>
          <w:color w:val="000000"/>
          <w:sz w:val="22"/>
          <w:szCs w:val="22"/>
        </w:rPr>
        <w:t xml:space="preserve">NAD+ repletion reverses age-related decline in mitochondrial function and restores youthful metabolic profiles.</w:t>
      </w:r>
    </w:p>
    <w:p>
      <w:pPr>
        <w:pStyle w:val="ListParagraph"/>
        <w:numPr>
          <w:ilvl w:val="0"/>
          <w:numId w:val="2"/>
        </w:numPr>
        <w:spacing w:after="80" w:line="300"/>
      </w:pPr>
      <w:r>
        <w:rPr>
          <w:rFonts w:ascii="Arial" w:cs="Arial" w:eastAsia="Arial" w:hAnsi="Arial"/>
          <w:b/>
          <w:bCs/>
          <w:color w:val="CC0000"/>
          <w:sz w:val="22"/>
          <w:szCs w:val="22"/>
        </w:rPr>
        <w:t xml:space="preserve">Sirtuin-Mediated Longevity: </w:t>
      </w:r>
      <w:r>
        <w:rPr>
          <w:rFonts w:ascii="Arial" w:cs="Arial" w:eastAsia="Arial" w:hAnsi="Arial"/>
          <w:color w:val="000000"/>
          <w:sz w:val="22"/>
          <w:szCs w:val="22"/>
        </w:rPr>
        <w:t xml:space="preserve">SIRT1 and SIRT3 activation promotes mitochondrial biogenesis, autophagy, and stress resistance.</w:t>
      </w:r>
    </w:p>
    <w:p>
      <w:pPr>
        <w:pStyle w:val="ListParagraph"/>
        <w:numPr>
          <w:ilvl w:val="0"/>
          <w:numId w:val="2"/>
        </w:numPr>
        <w:spacing w:after="80" w:line="300"/>
      </w:pPr>
      <w:r>
        <w:rPr>
          <w:rFonts w:ascii="Arial" w:cs="Arial" w:eastAsia="Arial" w:hAnsi="Arial"/>
          <w:b/>
          <w:bCs/>
          <w:color w:val="CC0000"/>
          <w:sz w:val="22"/>
          <w:szCs w:val="22"/>
        </w:rPr>
        <w:t xml:space="preserve">Telomere Protection: </w:t>
      </w:r>
      <w:r>
        <w:rPr>
          <w:rFonts w:ascii="Arial" w:cs="Arial" w:eastAsia="Arial" w:hAnsi="Arial"/>
          <w:color w:val="000000"/>
          <w:sz w:val="22"/>
          <w:szCs w:val="22"/>
        </w:rPr>
        <w:t xml:space="preserve">Research indicates NAD+ supports telomere maintenance through sirtuin-dependent mechanisms.</w:t>
      </w:r>
    </w:p>
    <w:p>
      <w:pPr>
        <w:pStyle w:val="Heading2"/>
      </w:pPr>
      <w:r>
        <w:rPr>
          <w:rFonts w:ascii="Arial" w:cs="Arial" w:eastAsia="Arial" w:hAnsi="Arial"/>
          <w:b/>
          <w:bCs/>
          <w:color w:val="CC0000"/>
          <w:sz w:val="28"/>
          <w:szCs w:val="28"/>
        </w:rPr>
        <w:t xml:space="preserve">Neuroprotection</w:t>
      </w:r>
    </w:p>
    <w:p>
      <w:pPr>
        <w:pStyle w:val="ListParagraph"/>
        <w:numPr>
          <w:ilvl w:val="0"/>
          <w:numId w:val="2"/>
        </w:numPr>
        <w:spacing w:after="80" w:line="300"/>
      </w:pPr>
      <w:r>
        <w:rPr>
          <w:rFonts w:ascii="Arial" w:cs="Arial" w:eastAsia="Arial" w:hAnsi="Arial"/>
          <w:b/>
          <w:bCs/>
          <w:color w:val="CC0000"/>
          <w:sz w:val="22"/>
          <w:szCs w:val="22"/>
        </w:rPr>
        <w:t xml:space="preserve">Neuronal Energy: </w:t>
      </w:r>
      <w:r>
        <w:rPr>
          <w:rFonts w:ascii="Arial" w:cs="Arial" w:eastAsia="Arial" w:hAnsi="Arial"/>
          <w:color w:val="000000"/>
          <w:sz w:val="22"/>
          <w:szCs w:val="22"/>
        </w:rPr>
        <w:t xml:space="preserve">Critical for neuronal ATP production and axonal energy supply.</w:t>
      </w:r>
    </w:p>
    <w:p>
      <w:pPr>
        <w:pStyle w:val="ListParagraph"/>
        <w:numPr>
          <w:ilvl w:val="0"/>
          <w:numId w:val="2"/>
        </w:numPr>
        <w:spacing w:after="80" w:line="300"/>
      </w:pPr>
      <w:r>
        <w:rPr>
          <w:rFonts w:ascii="Arial" w:cs="Arial" w:eastAsia="Arial" w:hAnsi="Arial"/>
          <w:b/>
          <w:bCs/>
          <w:color w:val="CC0000"/>
          <w:sz w:val="22"/>
          <w:szCs w:val="22"/>
        </w:rPr>
        <w:t xml:space="preserve">Neurodegenerative Models: </w:t>
      </w:r>
      <w:r>
        <w:rPr>
          <w:rFonts w:ascii="Arial" w:cs="Arial" w:eastAsia="Arial" w:hAnsi="Arial"/>
          <w:color w:val="000000"/>
          <w:sz w:val="22"/>
          <w:szCs w:val="22"/>
        </w:rPr>
        <w:t xml:space="preserve">Protective effects in preclinical Alzheimer's, Parkinson's, and ALS models.</w:t>
      </w:r>
    </w:p>
    <w:p>
      <w:pPr>
        <w:pStyle w:val="ListParagraph"/>
        <w:numPr>
          <w:ilvl w:val="0"/>
          <w:numId w:val="2"/>
        </w:numPr>
        <w:spacing w:after="80" w:line="300"/>
      </w:pPr>
      <w:r>
        <w:rPr>
          <w:rFonts w:ascii="Arial" w:cs="Arial" w:eastAsia="Arial" w:hAnsi="Arial"/>
          <w:b/>
          <w:bCs/>
          <w:color w:val="CC0000"/>
          <w:sz w:val="22"/>
          <w:szCs w:val="22"/>
        </w:rPr>
        <w:t xml:space="preserve">Blood-Brain Barrier: </w:t>
      </w:r>
      <w:r>
        <w:rPr>
          <w:rFonts w:ascii="Arial" w:cs="Arial" w:eastAsia="Arial" w:hAnsi="Arial"/>
          <w:color w:val="000000"/>
          <w:sz w:val="22"/>
          <w:szCs w:val="22"/>
        </w:rPr>
        <w:t xml:space="preserve">Supports BBB function and cerebrovascular health.</w:t>
      </w:r>
    </w:p>
    <w:p>
      <w:pPr>
        <w:pStyle w:val="Heading2"/>
      </w:pPr>
      <w:r>
        <w:rPr>
          <w:rFonts w:ascii="Arial" w:cs="Arial" w:eastAsia="Arial" w:hAnsi="Arial"/>
          <w:b/>
          <w:bCs/>
          <w:color w:val="CC0000"/>
          <w:sz w:val="28"/>
          <w:szCs w:val="28"/>
        </w:rPr>
        <w:t xml:space="preserve">Metabolic Health</w:t>
      </w:r>
    </w:p>
    <w:p>
      <w:pPr>
        <w:pStyle w:val="ListParagraph"/>
        <w:numPr>
          <w:ilvl w:val="0"/>
          <w:numId w:val="2"/>
        </w:numPr>
        <w:spacing w:after="80" w:line="300"/>
      </w:pPr>
      <w:r>
        <w:rPr>
          <w:rFonts w:ascii="Arial" w:cs="Arial" w:eastAsia="Arial" w:hAnsi="Arial"/>
          <w:b/>
          <w:bCs/>
          <w:color w:val="CC0000"/>
          <w:sz w:val="22"/>
          <w:szCs w:val="22"/>
        </w:rPr>
        <w:t xml:space="preserve">Insulin Sensitivity: </w:t>
      </w:r>
      <w:r>
        <w:rPr>
          <w:rFonts w:ascii="Arial" w:cs="Arial" w:eastAsia="Arial" w:hAnsi="Arial"/>
          <w:color w:val="000000"/>
          <w:sz w:val="22"/>
          <w:szCs w:val="22"/>
        </w:rPr>
        <w:t xml:space="preserve">Improves glucose tolerance and insulin sensitivity in metabolic syndrome models.</w:t>
      </w:r>
    </w:p>
    <w:p>
      <w:pPr>
        <w:pStyle w:val="ListParagraph"/>
        <w:numPr>
          <w:ilvl w:val="0"/>
          <w:numId w:val="2"/>
        </w:numPr>
        <w:spacing w:after="80" w:line="300"/>
      </w:pPr>
      <w:r>
        <w:rPr>
          <w:rFonts w:ascii="Arial" w:cs="Arial" w:eastAsia="Arial" w:hAnsi="Arial"/>
          <w:b/>
          <w:bCs/>
          <w:color w:val="CC0000"/>
          <w:sz w:val="22"/>
          <w:szCs w:val="22"/>
        </w:rPr>
        <w:t xml:space="preserve">Lipid Metabolism: </w:t>
      </w:r>
      <w:r>
        <w:rPr>
          <w:rFonts w:ascii="Arial" w:cs="Arial" w:eastAsia="Arial" w:hAnsi="Arial"/>
          <w:color w:val="000000"/>
          <w:sz w:val="22"/>
          <w:szCs w:val="22"/>
        </w:rPr>
        <w:t xml:space="preserve">Promotes fatty acid oxidation and reduces hepatic lipid accumulation.</w:t>
      </w:r>
    </w:p>
    <w:p>
      <w:pPr>
        <w:pStyle w:val="ListParagraph"/>
        <w:numPr>
          <w:ilvl w:val="0"/>
          <w:numId w:val="2"/>
        </w:numPr>
        <w:spacing w:after="80" w:line="300"/>
      </w:pPr>
      <w:r>
        <w:rPr>
          <w:rFonts w:ascii="Arial" w:cs="Arial" w:eastAsia="Arial" w:hAnsi="Arial"/>
          <w:b/>
          <w:bCs/>
          <w:color w:val="CC0000"/>
          <w:sz w:val="22"/>
          <w:szCs w:val="22"/>
        </w:rPr>
        <w:t xml:space="preserve">Weight Management: </w:t>
      </w:r>
      <w:r>
        <w:rPr>
          <w:rFonts w:ascii="Arial" w:cs="Arial" w:eastAsia="Arial" w:hAnsi="Arial"/>
          <w:color w:val="000000"/>
          <w:sz w:val="22"/>
          <w:szCs w:val="22"/>
        </w:rPr>
        <w:t xml:space="preserve">Enhanced mitochondrial function supports improved metabolic rate.</w:t>
      </w:r>
    </w:p>
    <w:p>
      <w:pPr>
        <w:pStyle w:val="Heading2"/>
      </w:pPr>
      <w:r>
        <w:rPr>
          <w:rFonts w:ascii="Arial" w:cs="Arial" w:eastAsia="Arial" w:hAnsi="Arial"/>
          <w:b/>
          <w:bCs/>
          <w:color w:val="CC0000"/>
          <w:sz w:val="28"/>
          <w:szCs w:val="28"/>
        </w:rPr>
        <w:t xml:space="preserve">Cardiovascular</w:t>
      </w:r>
    </w:p>
    <w:p>
      <w:pPr>
        <w:pStyle w:val="ListParagraph"/>
        <w:numPr>
          <w:ilvl w:val="0"/>
          <w:numId w:val="2"/>
        </w:numPr>
        <w:spacing w:after="80" w:line="300"/>
      </w:pPr>
      <w:r>
        <w:rPr>
          <w:rFonts w:ascii="Arial" w:cs="Arial" w:eastAsia="Arial" w:hAnsi="Arial"/>
          <w:b/>
          <w:bCs/>
          <w:color w:val="CC0000"/>
          <w:sz w:val="22"/>
          <w:szCs w:val="22"/>
        </w:rPr>
        <w:t xml:space="preserve">Cardiac Protection: </w:t>
      </w:r>
      <w:r>
        <w:rPr>
          <w:rFonts w:ascii="Arial" w:cs="Arial" w:eastAsia="Arial" w:hAnsi="Arial"/>
          <w:color w:val="000000"/>
          <w:sz w:val="22"/>
          <w:szCs w:val="22"/>
        </w:rPr>
        <w:t xml:space="preserve">Cardioprotective effects in heart failure and ischemia-reperfusion models.</w:t>
      </w:r>
    </w:p>
    <w:p>
      <w:pPr>
        <w:pStyle w:val="ListParagraph"/>
        <w:numPr>
          <w:ilvl w:val="0"/>
          <w:numId w:val="2"/>
        </w:numPr>
        <w:spacing w:after="80" w:line="300"/>
      </w:pPr>
      <w:r>
        <w:rPr>
          <w:rFonts w:ascii="Arial" w:cs="Arial" w:eastAsia="Arial" w:hAnsi="Arial"/>
          <w:b/>
          <w:bCs/>
          <w:color w:val="CC0000"/>
          <w:sz w:val="22"/>
          <w:szCs w:val="22"/>
        </w:rPr>
        <w:t xml:space="preserve">Vascular Health: </w:t>
      </w:r>
      <w:r>
        <w:rPr>
          <w:rFonts w:ascii="Arial" w:cs="Arial" w:eastAsia="Arial" w:hAnsi="Arial"/>
          <w:color w:val="000000"/>
          <w:sz w:val="22"/>
          <w:szCs w:val="22"/>
        </w:rPr>
        <w:t xml:space="preserve">Supports endothelial function and vascular elasticity through SIRT1 pathways.</w:t>
      </w:r>
    </w:p>
    <w:p>
      <w:pPr>
        <w:pStyle w:val="ListParagraph"/>
        <w:numPr>
          <w:ilvl w:val="0"/>
          <w:numId w:val="2"/>
        </w:numPr>
        <w:spacing w:after="80" w:line="300"/>
      </w:pPr>
      <w:r>
        <w:rPr>
          <w:rFonts w:ascii="Arial" w:cs="Arial" w:eastAsia="Arial" w:hAnsi="Arial"/>
          <w:b/>
          <w:bCs/>
          <w:color w:val="CC0000"/>
          <w:sz w:val="22"/>
          <w:szCs w:val="22"/>
        </w:rPr>
        <w:t xml:space="preserve">Arterial Stiffness: </w:t>
      </w:r>
      <w:r>
        <w:rPr>
          <w:rFonts w:ascii="Arial" w:cs="Arial" w:eastAsia="Arial" w:hAnsi="Arial"/>
          <w:color w:val="000000"/>
          <w:sz w:val="22"/>
          <w:szCs w:val="22"/>
        </w:rPr>
        <w:t xml:space="preserve">May reverse age-related arterial stiffness.</w:t>
      </w:r>
    </w:p>
    <w:p>
      <w:pPr>
        <w:pStyle w:val="Heading2"/>
      </w:pPr>
      <w:r>
        <w:rPr>
          <w:rFonts w:ascii="Arial" w:cs="Arial" w:eastAsia="Arial" w:hAnsi="Arial"/>
          <w:b/>
          <w:bCs/>
          <w:color w:val="CC0000"/>
          <w:sz w:val="28"/>
          <w:szCs w:val="28"/>
        </w:rPr>
        <w:t xml:space="preserve">Exercise Performance</w:t>
      </w:r>
    </w:p>
    <w:p>
      <w:pPr>
        <w:pStyle w:val="ListParagraph"/>
        <w:numPr>
          <w:ilvl w:val="0"/>
          <w:numId w:val="2"/>
        </w:numPr>
        <w:spacing w:after="80" w:line="300"/>
      </w:pPr>
      <w:r>
        <w:rPr>
          <w:rFonts w:ascii="Arial" w:cs="Arial" w:eastAsia="Arial" w:hAnsi="Arial"/>
          <w:b/>
          <w:bCs/>
          <w:color w:val="CC0000"/>
          <w:sz w:val="22"/>
          <w:szCs w:val="22"/>
        </w:rPr>
        <w:t xml:space="preserve">Muscle Endurance: </w:t>
      </w:r>
      <w:r>
        <w:rPr>
          <w:rFonts w:ascii="Arial" w:cs="Arial" w:eastAsia="Arial" w:hAnsi="Arial"/>
          <w:color w:val="000000"/>
          <w:sz w:val="22"/>
          <w:szCs w:val="22"/>
        </w:rPr>
        <w:t xml:space="preserve">Supports mitochondrial biogenesis in skeletal muscle.</w:t>
      </w:r>
    </w:p>
    <w:p>
      <w:pPr>
        <w:pStyle w:val="ListParagraph"/>
        <w:numPr>
          <w:ilvl w:val="0"/>
          <w:numId w:val="2"/>
        </w:numPr>
        <w:spacing w:after="80" w:line="300"/>
      </w:pPr>
      <w:r>
        <w:rPr>
          <w:rFonts w:ascii="Arial" w:cs="Arial" w:eastAsia="Arial" w:hAnsi="Arial"/>
          <w:b/>
          <w:bCs/>
          <w:color w:val="CC0000"/>
          <w:sz w:val="22"/>
          <w:szCs w:val="22"/>
        </w:rPr>
        <w:t xml:space="preserve">Recovery: </w:t>
      </w:r>
      <w:r>
        <w:rPr>
          <w:rFonts w:ascii="Arial" w:cs="Arial" w:eastAsia="Arial" w:hAnsi="Arial"/>
          <w:color w:val="000000"/>
          <w:sz w:val="22"/>
          <w:szCs w:val="22"/>
        </w:rPr>
        <w:t xml:space="preserve">Promotes efficient energy production and reduces oxidative stress.</w:t>
      </w:r>
    </w:p>
    <w:p>
      <w:pPr>
        <w:pStyle w:val="ListParagraph"/>
        <w:numPr>
          <w:ilvl w:val="0"/>
          <w:numId w:val="2"/>
        </w:numPr>
        <w:spacing w:after="80" w:line="300"/>
      </w:pPr>
      <w:r>
        <w:rPr>
          <w:rFonts w:ascii="Arial" w:cs="Arial" w:eastAsia="Arial" w:hAnsi="Arial"/>
          <w:b/>
          <w:bCs/>
          <w:color w:val="CC0000"/>
          <w:sz w:val="22"/>
          <w:szCs w:val="22"/>
        </w:rPr>
        <w:t xml:space="preserve">Muscle Stem Cells: </w:t>
      </w:r>
      <w:r>
        <w:rPr>
          <w:rFonts w:ascii="Arial" w:cs="Arial" w:eastAsia="Arial" w:hAnsi="Arial"/>
          <w:color w:val="000000"/>
          <w:sz w:val="22"/>
          <w:szCs w:val="22"/>
        </w:rPr>
        <w:t xml:space="preserve">Rejuvenates muscle stem cells in aged animals.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Low / Maintenance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100-250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IV Infusion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1-2x per week</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Standard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250-500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IV Infusion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1-2x per week</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High / Loading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500-1000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IV Infusion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 x 3-5 days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Subcutaneous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50-200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 or as directed</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 or sterile saline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Gently swirl, do not shake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 After Reconstitution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14 days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IV Infusion Rate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Slow drip over 1-4 hours (dose dependent)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SubQ Injection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Rotate injection sites, room temperature</w:t>
            </w:r>
          </w:p>
        </w:tc>
      </w:tr>
    </w:tbl>
    <w:p>
      <w:pPr>
        <w:spacing w:after="160" w:line="300"/>
      </w:pPr>
      <w:r>
        <w:rPr>
          <w:rFonts w:ascii="Arial" w:cs="Arial" w:eastAsia="Arial" w:hAnsi="Arial"/>
          <w:color w:val="000000"/>
          <w:sz w:val="22"/>
          <w:szCs w:val="22"/>
        </w:rPr>
        <w:t xml:space="preserve">Note: IV infusion of NAD+ is typically administered slowly to minimize side effects such as nausea, chest tightness, and cramping.</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NAD+ has been administered in clinical and research settings with a generally favorable safety profile:</w:t>
      </w:r>
    </w:p>
    <w:p>
      <w:pPr>
        <w:pStyle w:val="ListParagraph"/>
        <w:numPr>
          <w:ilvl w:val="0"/>
          <w:numId w:val="2"/>
        </w:numPr>
        <w:spacing w:after="80" w:line="300"/>
      </w:pPr>
      <w:r>
        <w:rPr>
          <w:rFonts w:ascii="Arial" w:cs="Arial" w:eastAsia="Arial" w:hAnsi="Arial"/>
          <w:b/>
          <w:bCs/>
          <w:color w:val="CC0000"/>
          <w:sz w:val="22"/>
          <w:szCs w:val="22"/>
        </w:rPr>
        <w:t xml:space="preserve">Infusion-Related Effects: </w:t>
      </w:r>
      <w:r>
        <w:rPr>
          <w:rFonts w:ascii="Arial" w:cs="Arial" w:eastAsia="Arial" w:hAnsi="Arial"/>
          <w:color w:val="000000"/>
          <w:sz w:val="22"/>
          <w:szCs w:val="22"/>
        </w:rPr>
        <w:t xml:space="preserve">Nausea, chest pressure, cramping, and flushing may occur with IV infusion, particularly with faster rates. These are transient and resolve when the rate is reduced.</w:t>
      </w:r>
    </w:p>
    <w:p>
      <w:pPr>
        <w:pStyle w:val="ListParagraph"/>
        <w:numPr>
          <w:ilvl w:val="0"/>
          <w:numId w:val="2"/>
        </w:numPr>
        <w:spacing w:after="80" w:line="300"/>
      </w:pPr>
      <w:r>
        <w:rPr>
          <w:rFonts w:ascii="Arial" w:cs="Arial" w:eastAsia="Arial" w:hAnsi="Arial"/>
          <w:b/>
          <w:bCs/>
          <w:color w:val="CC0000"/>
          <w:sz w:val="22"/>
          <w:szCs w:val="22"/>
        </w:rPr>
        <w:t xml:space="preserve">SubQ Reactions: </w:t>
      </w:r>
      <w:r>
        <w:rPr>
          <w:rFonts w:ascii="Arial" w:cs="Arial" w:eastAsia="Arial" w:hAnsi="Arial"/>
          <w:color w:val="000000"/>
          <w:sz w:val="22"/>
          <w:szCs w:val="22"/>
        </w:rPr>
        <w:t xml:space="preserve">Mild redness or discomfort at injection sites may occur.</w:t>
      </w:r>
    </w:p>
    <w:p>
      <w:pPr>
        <w:pStyle w:val="ListParagraph"/>
        <w:numPr>
          <w:ilvl w:val="0"/>
          <w:numId w:val="2"/>
        </w:numPr>
        <w:spacing w:after="80" w:line="300"/>
      </w:pPr>
      <w:r>
        <w:rPr>
          <w:rFonts w:ascii="Arial" w:cs="Arial" w:eastAsia="Arial" w:hAnsi="Arial"/>
          <w:b/>
          <w:bCs/>
          <w:color w:val="CC0000"/>
          <w:sz w:val="22"/>
          <w:szCs w:val="22"/>
        </w:rPr>
        <w:t xml:space="preserve">Drug Interactions: </w:t>
      </w:r>
      <w:r>
        <w:rPr>
          <w:rFonts w:ascii="Arial" w:cs="Arial" w:eastAsia="Arial" w:hAnsi="Arial"/>
          <w:color w:val="000000"/>
          <w:sz w:val="22"/>
          <w:szCs w:val="22"/>
        </w:rPr>
        <w:t xml:space="preserve">May interact with PARP inhibitors and certain chemotherapeutic agents.</w:t>
      </w:r>
    </w:p>
    <w:p>
      <w:pPr>
        <w:pStyle w:val="ListParagraph"/>
        <w:numPr>
          <w:ilvl w:val="0"/>
          <w:numId w:val="2"/>
        </w:numPr>
        <w:spacing w:after="80" w:line="300"/>
      </w:pPr>
      <w:r>
        <w:rPr>
          <w:rFonts w:ascii="Arial" w:cs="Arial" w:eastAsia="Arial" w:hAnsi="Arial"/>
          <w:b/>
          <w:bCs/>
          <w:color w:val="CC0000"/>
          <w:sz w:val="22"/>
          <w:szCs w:val="22"/>
        </w:rPr>
        <w:t xml:space="preserve">Contraindications: </w:t>
      </w:r>
      <w:r>
        <w:rPr>
          <w:rFonts w:ascii="Arial" w:cs="Arial" w:eastAsia="Arial" w:hAnsi="Arial"/>
          <w:color w:val="000000"/>
          <w:sz w:val="22"/>
          <w:szCs w:val="22"/>
        </w:rPr>
        <w:t xml:space="preserve">Caution with active malignancies. Hypersensitivity to NAD+ or its components.</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Insufficient safety data; use not recommended.</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Yoshino J, Baur JA, Imai SI. NAD+ Intermediates: The Biology and Therapeutic Potential of NMN and NR. Cell Metabolism. 2018;27(3):513-528.</w:t>
      </w:r>
    </w:p>
    <w:p>
      <w:pPr>
        <w:pStyle w:val="ListParagraph"/>
        <w:numPr>
          <w:ilvl w:val="0"/>
          <w:numId w:val="3"/>
        </w:numPr>
        <w:spacing w:after="80" w:line="300"/>
      </w:pPr>
      <w:r>
        <w:rPr>
          <w:rFonts w:ascii="Arial" w:cs="Arial" w:eastAsia="Arial" w:hAnsi="Arial"/>
          <w:color w:val="000000"/>
          <w:sz w:val="20"/>
          <w:szCs w:val="20"/>
        </w:rPr>
        <w:t xml:space="preserve">Verdin E. NAD+ in Aging, Metabolism, and Neurodegeneration. Science. 2015;350(6265):1208-1213.</w:t>
      </w:r>
    </w:p>
    <w:p>
      <w:pPr>
        <w:pStyle w:val="ListParagraph"/>
        <w:numPr>
          <w:ilvl w:val="0"/>
          <w:numId w:val="3"/>
        </w:numPr>
        <w:spacing w:after="80" w:line="300"/>
      </w:pPr>
      <w:r>
        <w:rPr>
          <w:rFonts w:ascii="Arial" w:cs="Arial" w:eastAsia="Arial" w:hAnsi="Arial"/>
          <w:color w:val="000000"/>
          <w:sz w:val="20"/>
          <w:szCs w:val="20"/>
        </w:rPr>
        <w:t xml:space="preserve">Rajman L, Chwalek K, Sinclair DA. Therapeutic Potential of NAD-Boosting Molecules. Cell Metabolism. 2018;27(3):529-547.</w:t>
      </w:r>
    </w:p>
    <w:p>
      <w:pPr>
        <w:pStyle w:val="ListParagraph"/>
        <w:numPr>
          <w:ilvl w:val="0"/>
          <w:numId w:val="3"/>
        </w:numPr>
        <w:spacing w:after="80" w:line="300"/>
      </w:pPr>
      <w:r>
        <w:rPr>
          <w:rFonts w:ascii="Arial" w:cs="Arial" w:eastAsia="Arial" w:hAnsi="Arial"/>
          <w:color w:val="000000"/>
          <w:sz w:val="20"/>
          <w:szCs w:val="20"/>
        </w:rPr>
        <w:t xml:space="preserve">Imai SI, Guarente L. NAD+ and Sirtuins in Aging and Disease. Trends in Cell Biology. 2014;24(8):464-471.</w:t>
      </w:r>
    </w:p>
    <w:p>
      <w:pPr>
        <w:pStyle w:val="ListParagraph"/>
        <w:numPr>
          <w:ilvl w:val="0"/>
          <w:numId w:val="3"/>
        </w:numPr>
        <w:spacing w:after="80" w:line="300"/>
      </w:pPr>
      <w:r>
        <w:rPr>
          <w:rFonts w:ascii="Arial" w:cs="Arial" w:eastAsia="Arial" w:hAnsi="Arial"/>
          <w:color w:val="000000"/>
          <w:sz w:val="20"/>
          <w:szCs w:val="20"/>
        </w:rPr>
        <w:t xml:space="preserve">Camacho-Pereira J, et al. CD38 Dictates Age-Related NAD Decline. Cell Metabolism. 2016;23(6):1127-1139.</w:t>
      </w:r>
    </w:p>
    <w:p>
      <w:pPr>
        <w:pStyle w:val="ListParagraph"/>
        <w:numPr>
          <w:ilvl w:val="0"/>
          <w:numId w:val="3"/>
        </w:numPr>
        <w:spacing w:after="80" w:line="300"/>
      </w:pPr>
      <w:r>
        <w:rPr>
          <w:rFonts w:ascii="Arial" w:cs="Arial" w:eastAsia="Arial" w:hAnsi="Arial"/>
          <w:color w:val="000000"/>
          <w:sz w:val="20"/>
          <w:szCs w:val="20"/>
        </w:rPr>
        <w:t xml:space="preserve">Zhang H, et al. NAD+ Repletion Improves Mitochondrial and Stem Cell Function. Science. 2016;352(6292):1436-1443.</w:t>
      </w:r>
    </w:p>
    <w:p>
      <w:pPr>
        <w:pStyle w:val="ListParagraph"/>
        <w:numPr>
          <w:ilvl w:val="0"/>
          <w:numId w:val="3"/>
        </w:numPr>
        <w:spacing w:after="80" w:line="300"/>
      </w:pPr>
      <w:r>
        <w:rPr>
          <w:rFonts w:ascii="Arial" w:cs="Arial" w:eastAsia="Arial" w:hAnsi="Arial"/>
          <w:color w:val="000000"/>
          <w:sz w:val="20"/>
          <w:szCs w:val="20"/>
        </w:rPr>
        <w:t xml:space="preserve">Braidy N, et al. Role of NAD+ and Related Precursors as Therapeutic Targets. Antioxidants &amp; Redox Signaling. 2019;30(2):251-294.</w:t>
      </w:r>
    </w:p>
    <w:p>
      <w:pPr>
        <w:pStyle w:val="ListParagraph"/>
        <w:numPr>
          <w:ilvl w:val="0"/>
          <w:numId w:val="3"/>
        </w:numPr>
        <w:spacing w:after="80" w:line="300"/>
      </w:pPr>
      <w:r>
        <w:rPr>
          <w:rFonts w:ascii="Arial" w:cs="Arial" w:eastAsia="Arial" w:hAnsi="Arial"/>
          <w:color w:val="000000"/>
          <w:sz w:val="20"/>
          <w:szCs w:val="20"/>
        </w:rPr>
        <w:t xml:space="preserve">Katsyuba E, et al. NAD+ Homeostasis in Health and Disease. Nature Metabolism. 2020;2(1):9-31.</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NAD+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NAD+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NAD+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2026-03-28T14:18:09.175Z</dcterms:created>
  <dcterms:modified xsi:type="dcterms:W3CDTF">2026-03-28T14:18:09.175Z</dcterms:modified>
</cp:coreProperties>
</file>

<file path=docProps/custom.xml><?xml version="1.0" encoding="utf-8"?>
<Properties xmlns="http://schemas.openxmlformats.org/officeDocument/2006/custom-properties" xmlns:vt="http://schemas.openxmlformats.org/officeDocument/2006/docPropsVTypes"/>
</file>