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KPV</w:t>
      </w:r>
    </w:p>
    <w:p>
      <w:pPr>
        <w:pBdr>
          <w:bottom w:val="single" w:color="CC0000" w:sz="6" w:space="8"/>
        </w:pBdr>
        <w:spacing w:after="100"/>
        <w:jc w:val="center"/>
      </w:pPr>
      <w:r>
        <w:rPr>
          <w:rFonts w:ascii="Arial" w:cs="Arial" w:eastAsia="Arial" w:hAnsi="Arial"/>
          <w:color w:val="555555"/>
          <w:sz w:val="22"/>
          <w:szCs w:val="22"/>
        </w:rPr>
        <w:t xml:space="preserve">Alpha-MSH C-Terminal Tripeptide | Anti-Inflammatory &amp; Antimicrobial Peptide</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KPV (Lys-Pro-Val / Alpha-MSH 11-13)</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C-Terminal Tripeptide Fragment of Alpha-Melanocyte Stimulating Hormone (α-MSH)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Lysine-Proline-Valine (3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C16H30N4O4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342.43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67727-97-3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15-30 minutes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Extensive preclinical research; emerging clinical interest for gut inflammation</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KPV is a naturally occurring tripeptide derived from the C-terminal sequence (positions 11-13) of alpha-melanocyte stimulating hormone (α-MSH). Despite being only three amino acids long, KPV retains the potent anti-inflammatory activity of the full 13-amino-acid α-MSH molecule while lacking its melanogenic (skin-darkening) and melanocortin receptor-binding properties.</w:t>
      </w:r>
    </w:p>
    <w:p>
      <w:pPr>
        <w:spacing w:after="160" w:line="300"/>
      </w:pPr>
      <w:r>
        <w:rPr>
          <w:rFonts w:ascii="Arial" w:cs="Arial" w:eastAsia="Arial" w:hAnsi="Arial"/>
          <w:color w:val="000000"/>
          <w:sz w:val="22"/>
          <w:szCs w:val="22"/>
        </w:rPr>
        <w:t xml:space="preserve">This dissociation between anti-inflammatory and melanotropic activity makes KPV uniquely valuable as a therapeutic peptide. Research has demonstrated that KPV exerts its anti-inflammatory effects through a mechanism distinct from classical melanocortin receptor signaling — it directly enters cells and interacts with intracellular inflammatory signaling pathways, particularly the NF-kB pathway.</w:t>
      </w:r>
    </w:p>
    <w:p>
      <w:pPr>
        <w:spacing w:after="160" w:line="300"/>
      </w:pPr>
      <w:r>
        <w:rPr>
          <w:rFonts w:ascii="Arial" w:cs="Arial" w:eastAsia="Arial" w:hAnsi="Arial"/>
          <w:color w:val="000000"/>
          <w:sz w:val="22"/>
          <w:szCs w:val="22"/>
        </w:rPr>
        <w:t xml:space="preserve">KPV has attracted significant research interest for inflammatory bowel disease (IBD), including Crohn's disease and ulcerative colitis, due to its ability to reduce intestinal inflammation when administered orally, subcutaneously, or even topically. Its small size, stability, and multiple routes of administration make it a highly versatile anti-inflammatory peptide.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NF-kB Pathway Inhibition</w:t>
      </w:r>
    </w:p>
    <w:p>
      <w:pPr>
        <w:spacing w:after="160" w:line="300"/>
      </w:pPr>
      <w:r>
        <w:rPr>
          <w:rFonts w:ascii="Arial" w:cs="Arial" w:eastAsia="Arial" w:hAnsi="Arial"/>
          <w:color w:val="000000"/>
          <w:sz w:val="22"/>
          <w:szCs w:val="22"/>
        </w:rPr>
        <w:t xml:space="preserve">KPV's primary anti-inflammatory mechanism involves direct inhibition of the nuclear factor kappa-B (NF-kB) signaling pathway. KPV enters cells through peptide transporters (PepT1) and interacts with inflammatory signaling cascades intracellularly. It inhibits IkB kinase (IKK) activation, preventing the phosphorylation and degradation of IkB-alpha. This keeps NF-kB sequestered in the cytoplasm, blocking transcription of pro-inflammatory genes including TNF-alpha, IL-1beta, IL-6, IL-8, COX-2, and iNOS.</w:t>
      </w:r>
    </w:p>
    <w:p>
      <w:pPr>
        <w:pStyle w:val="Heading2"/>
      </w:pPr>
      <w:r>
        <w:rPr>
          <w:rFonts w:ascii="Arial" w:cs="Arial" w:eastAsia="Arial" w:hAnsi="Arial"/>
          <w:b/>
          <w:bCs/>
          <w:color w:val="CC0000"/>
          <w:sz w:val="28"/>
          <w:szCs w:val="28"/>
        </w:rPr>
        <w:t xml:space="preserve">PepT1 Transporter Uptake</w:t>
      </w:r>
    </w:p>
    <w:p>
      <w:pPr>
        <w:spacing w:after="160" w:line="300"/>
      </w:pPr>
      <w:r>
        <w:rPr>
          <w:rFonts w:ascii="Arial" w:cs="Arial" w:eastAsia="Arial" w:hAnsi="Arial"/>
          <w:color w:val="000000"/>
          <w:sz w:val="22"/>
          <w:szCs w:val="22"/>
        </w:rPr>
        <w:t xml:space="preserve">KPV is actively transported into intestinal epithelial cells and immune cells via the proton-coupled oligopeptide transporter PepT1 (SLC15A1). This transporter is upregulated in inflamed intestinal tissue, meaning KPV uptake actually increases in diseased states where it is most needed. This targeted delivery mechanism makes oral KPV particularly effective for gastrointestinal inflammation.</w:t>
      </w:r>
    </w:p>
    <w:p>
      <w:pPr>
        <w:pStyle w:val="Heading2"/>
      </w:pPr>
      <w:r>
        <w:rPr>
          <w:rFonts w:ascii="Arial" w:cs="Arial" w:eastAsia="Arial" w:hAnsi="Arial"/>
          <w:b/>
          <w:bCs/>
          <w:color w:val="CC0000"/>
          <w:sz w:val="28"/>
          <w:szCs w:val="28"/>
        </w:rPr>
        <w:t xml:space="preserve">Inflammasome Modulation</w:t>
      </w:r>
    </w:p>
    <w:p>
      <w:pPr>
        <w:spacing w:after="160" w:line="300"/>
      </w:pPr>
      <w:r>
        <w:rPr>
          <w:rFonts w:ascii="Arial" w:cs="Arial" w:eastAsia="Arial" w:hAnsi="Arial"/>
          <w:color w:val="000000"/>
          <w:sz w:val="22"/>
          <w:szCs w:val="22"/>
        </w:rPr>
        <w:t xml:space="preserve">KPV has been shown to suppress NLRP3 inflammasome activation, reducing the production of mature IL-1beta and IL-18. This is particularly relevant in IBD and other chronic inflammatory conditions where inflammasome-driven inflammation perpetuates tissue damage and disease progression.</w:t>
      </w:r>
    </w:p>
    <w:p>
      <w:pPr>
        <w:pStyle w:val="Heading2"/>
      </w:pPr>
      <w:r>
        <w:rPr>
          <w:rFonts w:ascii="Arial" w:cs="Arial" w:eastAsia="Arial" w:hAnsi="Arial"/>
          <w:b/>
          <w:bCs/>
          <w:color w:val="CC0000"/>
          <w:sz w:val="28"/>
          <w:szCs w:val="28"/>
        </w:rPr>
        <w:t xml:space="preserve">Antimicrobial Activity</w:t>
      </w:r>
    </w:p>
    <w:p>
      <w:pPr>
        <w:spacing w:after="160" w:line="300"/>
      </w:pPr>
      <w:r>
        <w:rPr>
          <w:rFonts w:ascii="Arial" w:cs="Arial" w:eastAsia="Arial" w:hAnsi="Arial"/>
          <w:color w:val="000000"/>
          <w:sz w:val="22"/>
          <w:szCs w:val="22"/>
        </w:rPr>
        <w:t xml:space="preserve">KPV possesses direct antimicrobial properties against a range of gram-positive and gram-negative bacteria, as well as fungal species including Candida albicans. This dual anti-inflammatory and antimicrobial action is particularly beneficial in the gut environment where microbial dysbiosis and mucosal inflammation often coexist and reinforce each other.</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Gastrointestinal &amp; Gut Health</w:t>
      </w:r>
    </w:p>
    <w:p>
      <w:pPr>
        <w:pStyle w:val="ListParagraph"/>
        <w:numPr>
          <w:ilvl w:val="0"/>
          <w:numId w:val="2"/>
        </w:numPr>
        <w:spacing w:after="80" w:line="300"/>
      </w:pPr>
      <w:r>
        <w:rPr>
          <w:rFonts w:ascii="Arial" w:cs="Arial" w:eastAsia="Arial" w:hAnsi="Arial"/>
          <w:b/>
          <w:bCs/>
          <w:color w:val="CC0000"/>
          <w:sz w:val="22"/>
          <w:szCs w:val="22"/>
        </w:rPr>
        <w:t xml:space="preserve">Inflammatory Bowel Disease: </w:t>
      </w:r>
      <w:r>
        <w:rPr>
          <w:rFonts w:ascii="Arial" w:cs="Arial" w:eastAsia="Arial" w:hAnsi="Arial"/>
          <w:color w:val="000000"/>
          <w:sz w:val="22"/>
          <w:szCs w:val="22"/>
        </w:rPr>
        <w:t xml:space="preserve">Significantly reduces colitis severity scores, mucosal inflammation, and tissue damage in multiple IBD animal models (DSS-colitis, TNBS-colitis).</w:t>
      </w:r>
    </w:p>
    <w:p>
      <w:pPr>
        <w:pStyle w:val="ListParagraph"/>
        <w:numPr>
          <w:ilvl w:val="0"/>
          <w:numId w:val="2"/>
        </w:numPr>
        <w:spacing w:after="80" w:line="300"/>
      </w:pPr>
      <w:r>
        <w:rPr>
          <w:rFonts w:ascii="Arial" w:cs="Arial" w:eastAsia="Arial" w:hAnsi="Arial"/>
          <w:b/>
          <w:bCs/>
          <w:color w:val="CC0000"/>
          <w:sz w:val="22"/>
          <w:szCs w:val="22"/>
        </w:rPr>
        <w:t xml:space="preserve">Intestinal Barrier Repair: </w:t>
      </w:r>
      <w:r>
        <w:rPr>
          <w:rFonts w:ascii="Arial" w:cs="Arial" w:eastAsia="Arial" w:hAnsi="Arial"/>
          <w:color w:val="000000"/>
          <w:sz w:val="22"/>
          <w:szCs w:val="22"/>
        </w:rPr>
        <w:t xml:space="preserve">Restores tight junction protein expression (occludin, ZO-1, claudins), reducing intestinal permeability and bacterial translocation.</w:t>
      </w:r>
    </w:p>
    <w:p>
      <w:pPr>
        <w:pStyle w:val="ListParagraph"/>
        <w:numPr>
          <w:ilvl w:val="0"/>
          <w:numId w:val="2"/>
        </w:numPr>
        <w:spacing w:after="80" w:line="300"/>
      </w:pPr>
      <w:r>
        <w:rPr>
          <w:rFonts w:ascii="Arial" w:cs="Arial" w:eastAsia="Arial" w:hAnsi="Arial"/>
          <w:b/>
          <w:bCs/>
          <w:color w:val="CC0000"/>
          <w:sz w:val="22"/>
          <w:szCs w:val="22"/>
        </w:rPr>
        <w:t xml:space="preserve">Oral Bioavailability: </w:t>
      </w:r>
      <w:r>
        <w:rPr>
          <w:rFonts w:ascii="Arial" w:cs="Arial" w:eastAsia="Arial" w:hAnsi="Arial"/>
          <w:color w:val="000000"/>
          <w:sz w:val="22"/>
          <w:szCs w:val="22"/>
        </w:rPr>
        <w:t xml:space="preserve">Absorbed through PepT1 transporters in the gut, allowing direct delivery to inflamed intestinal tissue via oral administration.</w:t>
      </w:r>
    </w:p>
    <w:p>
      <w:pPr>
        <w:pStyle w:val="ListParagraph"/>
        <w:numPr>
          <w:ilvl w:val="0"/>
          <w:numId w:val="2"/>
        </w:numPr>
        <w:spacing w:after="80" w:line="300"/>
      </w:pPr>
      <w:r>
        <w:rPr>
          <w:rFonts w:ascii="Arial" w:cs="Arial" w:eastAsia="Arial" w:hAnsi="Arial"/>
          <w:b/>
          <w:bCs/>
          <w:color w:val="CC0000"/>
          <w:sz w:val="22"/>
          <w:szCs w:val="22"/>
        </w:rPr>
        <w:t xml:space="preserve">Microbiome Support: </w:t>
      </w:r>
      <w:r>
        <w:rPr>
          <w:rFonts w:ascii="Arial" w:cs="Arial" w:eastAsia="Arial" w:hAnsi="Arial"/>
          <w:color w:val="000000"/>
          <w:sz w:val="22"/>
          <w:szCs w:val="22"/>
        </w:rPr>
        <w:t xml:space="preserve">Antimicrobial activity against pathogenic bacteria combined with reduced inflammation supports restoration of healthy gut microbiome balance.</w:t>
      </w:r>
    </w:p>
    <w:p>
      <w:pPr>
        <w:pStyle w:val="Heading2"/>
      </w:pPr>
      <w:r>
        <w:rPr>
          <w:rFonts w:ascii="Arial" w:cs="Arial" w:eastAsia="Arial" w:hAnsi="Arial"/>
          <w:b/>
          <w:bCs/>
          <w:color w:val="CC0000"/>
          <w:sz w:val="28"/>
          <w:szCs w:val="28"/>
        </w:rPr>
        <w:t xml:space="preserve">Systemic Anti-Inflammatory Effects</w:t>
      </w:r>
    </w:p>
    <w:p>
      <w:pPr>
        <w:pStyle w:val="ListParagraph"/>
        <w:numPr>
          <w:ilvl w:val="0"/>
          <w:numId w:val="2"/>
        </w:numPr>
        <w:spacing w:after="80" w:line="300"/>
      </w:pPr>
      <w:r>
        <w:rPr>
          <w:rFonts w:ascii="Arial" w:cs="Arial" w:eastAsia="Arial" w:hAnsi="Arial"/>
          <w:b/>
          <w:bCs/>
          <w:color w:val="CC0000"/>
          <w:sz w:val="22"/>
          <w:szCs w:val="22"/>
        </w:rPr>
        <w:t xml:space="preserve">Cytokine Reduction: </w:t>
      </w:r>
      <w:r>
        <w:rPr>
          <w:rFonts w:ascii="Arial" w:cs="Arial" w:eastAsia="Arial" w:hAnsi="Arial"/>
          <w:color w:val="000000"/>
          <w:sz w:val="22"/>
          <w:szCs w:val="22"/>
        </w:rPr>
        <w:t xml:space="preserve">Potently suppresses TNF-alpha, IL-1beta, IL-6, and other pro-inflammatory mediators in multiple tissue types.</w:t>
      </w:r>
    </w:p>
    <w:p>
      <w:pPr>
        <w:pStyle w:val="ListParagraph"/>
        <w:numPr>
          <w:ilvl w:val="0"/>
          <w:numId w:val="2"/>
        </w:numPr>
        <w:spacing w:after="80" w:line="300"/>
      </w:pPr>
      <w:r>
        <w:rPr>
          <w:rFonts w:ascii="Arial" w:cs="Arial" w:eastAsia="Arial" w:hAnsi="Arial"/>
          <w:b/>
          <w:bCs/>
          <w:color w:val="CC0000"/>
          <w:sz w:val="22"/>
          <w:szCs w:val="22"/>
        </w:rPr>
        <w:t xml:space="preserve">Immune Cell Modulation: </w:t>
      </w:r>
      <w:r>
        <w:rPr>
          <w:rFonts w:ascii="Arial" w:cs="Arial" w:eastAsia="Arial" w:hAnsi="Arial"/>
          <w:color w:val="000000"/>
          <w:sz w:val="22"/>
          <w:szCs w:val="22"/>
        </w:rPr>
        <w:t xml:space="preserve">Reduces activation and pro-inflammatory cytokine production in macrophages, dendritic cells, and T-cells.</w:t>
      </w:r>
    </w:p>
    <w:p>
      <w:pPr>
        <w:pStyle w:val="ListParagraph"/>
        <w:numPr>
          <w:ilvl w:val="0"/>
          <w:numId w:val="2"/>
        </w:numPr>
        <w:spacing w:after="80" w:line="300"/>
      </w:pPr>
      <w:r>
        <w:rPr>
          <w:rFonts w:ascii="Arial" w:cs="Arial" w:eastAsia="Arial" w:hAnsi="Arial"/>
          <w:b/>
          <w:bCs/>
          <w:color w:val="CC0000"/>
          <w:sz w:val="22"/>
          <w:szCs w:val="22"/>
        </w:rPr>
        <w:t xml:space="preserve">Chronic Inflammation: </w:t>
      </w:r>
      <w:r>
        <w:rPr>
          <w:rFonts w:ascii="Arial" w:cs="Arial" w:eastAsia="Arial" w:hAnsi="Arial"/>
          <w:color w:val="000000"/>
          <w:sz w:val="22"/>
          <w:szCs w:val="22"/>
        </w:rPr>
        <w:t xml:space="preserve">Addresses underlying NF-kB-driven inflammatory processes common to many chronic diseases.</w:t>
      </w:r>
    </w:p>
    <w:p>
      <w:pPr>
        <w:pStyle w:val="Heading2"/>
      </w:pPr>
      <w:r>
        <w:rPr>
          <w:rFonts w:ascii="Arial" w:cs="Arial" w:eastAsia="Arial" w:hAnsi="Arial"/>
          <w:b/>
          <w:bCs/>
          <w:color w:val="CC0000"/>
          <w:sz w:val="28"/>
          <w:szCs w:val="28"/>
        </w:rPr>
        <w:t xml:space="preserve">Skin &amp; Wound Healing</w:t>
      </w:r>
    </w:p>
    <w:p>
      <w:pPr>
        <w:pStyle w:val="ListParagraph"/>
        <w:numPr>
          <w:ilvl w:val="0"/>
          <w:numId w:val="2"/>
        </w:numPr>
        <w:spacing w:after="80" w:line="300"/>
      </w:pPr>
      <w:r>
        <w:rPr>
          <w:rFonts w:ascii="Arial" w:cs="Arial" w:eastAsia="Arial" w:hAnsi="Arial"/>
          <w:b/>
          <w:bCs/>
          <w:color w:val="CC0000"/>
          <w:sz w:val="22"/>
          <w:szCs w:val="22"/>
        </w:rPr>
        <w:t xml:space="preserve">Dermatitis &amp; Eczema: </w:t>
      </w:r>
      <w:r>
        <w:rPr>
          <w:rFonts w:ascii="Arial" w:cs="Arial" w:eastAsia="Arial" w:hAnsi="Arial"/>
          <w:color w:val="000000"/>
          <w:sz w:val="22"/>
          <w:szCs w:val="22"/>
        </w:rPr>
        <w:t xml:space="preserve">Topical KPV reduces skin inflammation, erythema, and pruritis in contact dermatitis and atopic dermatitis models.</w:t>
      </w:r>
    </w:p>
    <w:p>
      <w:pPr>
        <w:pStyle w:val="ListParagraph"/>
        <w:numPr>
          <w:ilvl w:val="0"/>
          <w:numId w:val="2"/>
        </w:numPr>
        <w:spacing w:after="80" w:line="300"/>
      </w:pPr>
      <w:r>
        <w:rPr>
          <w:rFonts w:ascii="Arial" w:cs="Arial" w:eastAsia="Arial" w:hAnsi="Arial"/>
          <w:b/>
          <w:bCs/>
          <w:color w:val="CC0000"/>
          <w:sz w:val="22"/>
          <w:szCs w:val="22"/>
        </w:rPr>
        <w:t xml:space="preserve">Wound Healing: </w:t>
      </w:r>
      <w:r>
        <w:rPr>
          <w:rFonts w:ascii="Arial" w:cs="Arial" w:eastAsia="Arial" w:hAnsi="Arial"/>
          <w:color w:val="000000"/>
          <w:sz w:val="22"/>
          <w:szCs w:val="22"/>
        </w:rPr>
        <w:t xml:space="preserve">Anti-inflammatory and antimicrobial properties create a favorable environment for wound resolution.</w:t>
      </w:r>
    </w:p>
    <w:p>
      <w:pPr>
        <w:pStyle w:val="ListParagraph"/>
        <w:numPr>
          <w:ilvl w:val="0"/>
          <w:numId w:val="2"/>
        </w:numPr>
        <w:spacing w:after="80" w:line="300"/>
      </w:pPr>
      <w:r>
        <w:rPr>
          <w:rFonts w:ascii="Arial" w:cs="Arial" w:eastAsia="Arial" w:hAnsi="Arial"/>
          <w:b/>
          <w:bCs/>
          <w:color w:val="CC0000"/>
          <w:sz w:val="22"/>
          <w:szCs w:val="22"/>
        </w:rPr>
        <w:t xml:space="preserve">Psoriasis: </w:t>
      </w:r>
      <w:r>
        <w:rPr>
          <w:rFonts w:ascii="Arial" w:cs="Arial" w:eastAsia="Arial" w:hAnsi="Arial"/>
          <w:color w:val="000000"/>
          <w:sz w:val="22"/>
          <w:szCs w:val="22"/>
        </w:rPr>
        <w:t xml:space="preserve">Reduces keratinocyte hyperproliferation and inflammatory infiltrate in psoriasis research models.</w:t>
      </w:r>
    </w:p>
    <w:p>
      <w:pPr>
        <w:pStyle w:val="Heading2"/>
      </w:pPr>
      <w:r>
        <w:rPr>
          <w:rFonts w:ascii="Arial" w:cs="Arial" w:eastAsia="Arial" w:hAnsi="Arial"/>
          <w:b/>
          <w:bCs/>
          <w:color w:val="CC0000"/>
          <w:sz w:val="28"/>
          <w:szCs w:val="28"/>
        </w:rPr>
        <w:t xml:space="preserve">Antimicrobial Applications</w:t>
      </w:r>
    </w:p>
    <w:p>
      <w:pPr>
        <w:pStyle w:val="ListParagraph"/>
        <w:numPr>
          <w:ilvl w:val="0"/>
          <w:numId w:val="2"/>
        </w:numPr>
        <w:spacing w:after="80" w:line="300"/>
      </w:pPr>
      <w:r>
        <w:rPr>
          <w:rFonts w:ascii="Arial" w:cs="Arial" w:eastAsia="Arial" w:hAnsi="Arial"/>
          <w:b/>
          <w:bCs/>
          <w:color w:val="CC0000"/>
          <w:sz w:val="22"/>
          <w:szCs w:val="22"/>
        </w:rPr>
        <w:t xml:space="preserve">Broad Spectrum: </w:t>
      </w:r>
      <w:r>
        <w:rPr>
          <w:rFonts w:ascii="Arial" w:cs="Arial" w:eastAsia="Arial" w:hAnsi="Arial"/>
          <w:color w:val="000000"/>
          <w:sz w:val="22"/>
          <w:szCs w:val="22"/>
        </w:rPr>
        <w:t xml:space="preserve">Activity demonstrated against Staphylococcus aureus, Escherichia coli, Candida albicans, and other pathogens.</w:t>
      </w:r>
    </w:p>
    <w:p>
      <w:pPr>
        <w:pStyle w:val="ListParagraph"/>
        <w:numPr>
          <w:ilvl w:val="0"/>
          <w:numId w:val="2"/>
        </w:numPr>
        <w:spacing w:after="80" w:line="300"/>
      </w:pPr>
      <w:r>
        <w:rPr>
          <w:rFonts w:ascii="Arial" w:cs="Arial" w:eastAsia="Arial" w:hAnsi="Arial"/>
          <w:b/>
          <w:bCs/>
          <w:color w:val="CC0000"/>
          <w:sz w:val="22"/>
          <w:szCs w:val="22"/>
        </w:rPr>
        <w:t xml:space="preserve">Biofilm Disruption: </w:t>
      </w:r>
      <w:r>
        <w:rPr>
          <w:rFonts w:ascii="Arial" w:cs="Arial" w:eastAsia="Arial" w:hAnsi="Arial"/>
          <w:color w:val="000000"/>
          <w:sz w:val="22"/>
          <w:szCs w:val="22"/>
        </w:rPr>
        <w:t xml:space="preserve">Research suggests KPV may interfere with bacterial biofilm formation, enhancing susceptibility to immune clearance.</w:t>
      </w:r>
    </w:p>
    <w:p>
      <w:pPr>
        <w:pStyle w:val="ListParagraph"/>
        <w:numPr>
          <w:ilvl w:val="0"/>
          <w:numId w:val="2"/>
        </w:numPr>
        <w:spacing w:after="80" w:line="300"/>
      </w:pPr>
      <w:r>
        <w:rPr>
          <w:rFonts w:ascii="Arial" w:cs="Arial" w:eastAsia="Arial" w:hAnsi="Arial"/>
          <w:b/>
          <w:bCs/>
          <w:color w:val="CC0000"/>
          <w:sz w:val="22"/>
          <w:szCs w:val="22"/>
        </w:rPr>
        <w:t xml:space="preserve">Synergy with Antibiotics: </w:t>
      </w:r>
      <w:r>
        <w:rPr>
          <w:rFonts w:ascii="Arial" w:cs="Arial" w:eastAsia="Arial" w:hAnsi="Arial"/>
          <w:color w:val="000000"/>
          <w:sz w:val="22"/>
          <w:szCs w:val="22"/>
        </w:rPr>
        <w:t xml:space="preserve">Potential to enhance antibiotic efficacy through combined anti-inflammatory and antimicrobial mechanisms.</w:t>
      </w:r>
    </w:p>
    <w:p>
      <w:pPr>
        <w:pStyle w:val="Heading2"/>
      </w:pPr>
      <w:r>
        <w:rPr>
          <w:rFonts w:ascii="Arial" w:cs="Arial" w:eastAsia="Arial" w:hAnsi="Arial"/>
          <w:b/>
          <w:bCs/>
          <w:color w:val="CC0000"/>
          <w:sz w:val="28"/>
          <w:szCs w:val="28"/>
        </w:rPr>
        <w:t xml:space="preserve">Neuroprotection</w:t>
      </w:r>
    </w:p>
    <w:p>
      <w:pPr>
        <w:pStyle w:val="ListParagraph"/>
        <w:numPr>
          <w:ilvl w:val="0"/>
          <w:numId w:val="2"/>
        </w:numPr>
        <w:spacing w:after="80" w:line="300"/>
      </w:pPr>
      <w:r>
        <w:rPr>
          <w:rFonts w:ascii="Arial" w:cs="Arial" w:eastAsia="Arial" w:hAnsi="Arial"/>
          <w:b/>
          <w:bCs/>
          <w:color w:val="CC0000"/>
          <w:sz w:val="22"/>
          <w:szCs w:val="22"/>
        </w:rPr>
        <w:t xml:space="preserve">Neuroinflammation: </w:t>
      </w:r>
      <w:r>
        <w:rPr>
          <w:rFonts w:ascii="Arial" w:cs="Arial" w:eastAsia="Arial" w:hAnsi="Arial"/>
          <w:color w:val="000000"/>
          <w:sz w:val="22"/>
          <w:szCs w:val="22"/>
        </w:rPr>
        <w:t xml:space="preserve">Reduces microglial activation and neuroinflammatory mediator production in brain inflammation models.</w:t>
      </w:r>
    </w:p>
    <w:p>
      <w:pPr>
        <w:pStyle w:val="ListParagraph"/>
        <w:numPr>
          <w:ilvl w:val="0"/>
          <w:numId w:val="2"/>
        </w:numPr>
        <w:spacing w:after="80" w:line="300"/>
      </w:pPr>
      <w:r>
        <w:rPr>
          <w:rFonts w:ascii="Arial" w:cs="Arial" w:eastAsia="Arial" w:hAnsi="Arial"/>
          <w:b/>
          <w:bCs/>
          <w:color w:val="CC0000"/>
          <w:sz w:val="22"/>
          <w:szCs w:val="22"/>
        </w:rPr>
        <w:t xml:space="preserve">Blood-Brain Barrier: </w:t>
      </w:r>
      <w:r>
        <w:rPr>
          <w:rFonts w:ascii="Arial" w:cs="Arial" w:eastAsia="Arial" w:hAnsi="Arial"/>
          <w:color w:val="000000"/>
          <w:sz w:val="22"/>
          <w:szCs w:val="22"/>
        </w:rPr>
        <w:t xml:space="preserve">Supports BBB integrity by reducing inflammatory damage to endothelial tight junctions.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KPV can be administered via multiple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Oral (Capsule)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200-500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Oral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1-2x daily (for gut-targeted effects)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Low / Introductory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200-500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 mcg - 1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Topical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0.01-0.1% cream/gel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Topical Application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daily to affected area</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 once reconstituted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Oral: on empty stomach for optimal PepT1 absorption; SubQ: consistent daily timing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Oral Note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Oral capsules should be enteric-coated or taken on empty stomach to maximize intestinal delivery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KPV has demonstrated an excellent safety profile in preclinical research:</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across oral, subcutaneous, and topical routes in research settings. As a fragment of the endogenous α-MSH peptide, it has inherent biocompatibility.</w:t>
      </w:r>
    </w:p>
    <w:p>
      <w:pPr>
        <w:pStyle w:val="ListParagraph"/>
        <w:numPr>
          <w:ilvl w:val="0"/>
          <w:numId w:val="2"/>
        </w:numPr>
        <w:spacing w:after="80" w:line="300"/>
      </w:pPr>
      <w:r>
        <w:rPr>
          <w:rFonts w:ascii="Arial" w:cs="Arial" w:eastAsia="Arial" w:hAnsi="Arial"/>
          <w:b/>
          <w:bCs/>
          <w:color w:val="CC0000"/>
          <w:sz w:val="22"/>
          <w:szCs w:val="22"/>
        </w:rPr>
        <w:t xml:space="preserve">No Melanogenic Effects: </w:t>
      </w:r>
      <w:r>
        <w:rPr>
          <w:rFonts w:ascii="Arial" w:cs="Arial" w:eastAsia="Arial" w:hAnsi="Arial"/>
          <w:color w:val="000000"/>
          <w:sz w:val="22"/>
          <w:szCs w:val="22"/>
        </w:rPr>
        <w:t xml:space="preserve">Unlike full-length α-MSH or Melanotan peptides, KPV does not cause skin darkening or pigmentation changes at standard research doses.</w:t>
      </w:r>
    </w:p>
    <w:p>
      <w:pPr>
        <w:pStyle w:val="ListParagraph"/>
        <w:numPr>
          <w:ilvl w:val="0"/>
          <w:numId w:val="2"/>
        </w:numPr>
        <w:spacing w:after="80" w:line="300"/>
      </w:pPr>
      <w:r>
        <w:rPr>
          <w:rFonts w:ascii="Arial" w:cs="Arial" w:eastAsia="Arial" w:hAnsi="Arial"/>
          <w:b/>
          <w:bCs/>
          <w:color w:val="CC0000"/>
          <w:sz w:val="22"/>
          <w:szCs w:val="22"/>
        </w:rPr>
        <w:t xml:space="preserve">No Hormonal Disruption: </w:t>
      </w:r>
      <w:r>
        <w:rPr>
          <w:rFonts w:ascii="Arial" w:cs="Arial" w:eastAsia="Arial" w:hAnsi="Arial"/>
          <w:color w:val="000000"/>
          <w:sz w:val="22"/>
          <w:szCs w:val="22"/>
        </w:rPr>
        <w:t xml:space="preserve">Does not significantly activate melanocortin receptors at anti-inflammatory doses, avoiding effects on appetite, sexual function, or adrenal axis.</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injection site reactions possible with subcutaneous administration.</w:t>
      </w:r>
    </w:p>
    <w:p>
      <w:pPr>
        <w:pStyle w:val="ListParagraph"/>
        <w:numPr>
          <w:ilvl w:val="0"/>
          <w:numId w:val="2"/>
        </w:numPr>
        <w:spacing w:after="80" w:line="300"/>
      </w:pPr>
      <w:r>
        <w:rPr>
          <w:rFonts w:ascii="Arial" w:cs="Arial" w:eastAsia="Arial" w:hAnsi="Arial"/>
          <w:b/>
          <w:bCs/>
          <w:color w:val="CC0000"/>
          <w:sz w:val="22"/>
          <w:szCs w:val="22"/>
        </w:rPr>
        <w:t xml:space="preserve">GI Tolerability: </w:t>
      </w:r>
      <w:r>
        <w:rPr>
          <w:rFonts w:ascii="Arial" w:cs="Arial" w:eastAsia="Arial" w:hAnsi="Arial"/>
          <w:color w:val="000000"/>
          <w:sz w:val="22"/>
          <w:szCs w:val="22"/>
        </w:rPr>
        <w:t xml:space="preserve">Oral administration well tolerated with no significant gastrointestinal side effects reported in research models.</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No significant interactions identified; may complement conventional anti-inflammatory and immunosuppressive therapies.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Brzoska T, et al. Alpha-Melanocyte-Stimulating Hormone and Related Tripeptides: Biochemistry, Anti-Inflammatory and Protective Effects In Vitro and In Vivo. Advances in Protein Chemistry and Structural Biology. 2008;75:123-170.</w:t>
      </w:r>
    </w:p>
    <w:p>
      <w:pPr>
        <w:pStyle w:val="ListParagraph"/>
        <w:numPr>
          <w:ilvl w:val="0"/>
          <w:numId w:val="3"/>
        </w:numPr>
        <w:spacing w:after="80" w:line="300"/>
      </w:pPr>
      <w:r>
        <w:rPr>
          <w:rFonts w:ascii="Arial" w:cs="Arial" w:eastAsia="Arial" w:hAnsi="Arial"/>
          <w:color w:val="000000"/>
          <w:sz w:val="20"/>
          <w:szCs w:val="20"/>
        </w:rPr>
        <w:t xml:space="preserve">Dalmasso G, et al. PepT1-Mediated Tripeptide KPV Uptake Reduces Intestinal Inflammation. Gastroenterology. 2008;134(1):166-178.</w:t>
      </w:r>
    </w:p>
    <w:p>
      <w:pPr>
        <w:pStyle w:val="ListParagraph"/>
        <w:numPr>
          <w:ilvl w:val="0"/>
          <w:numId w:val="3"/>
        </w:numPr>
        <w:spacing w:after="80" w:line="300"/>
      </w:pPr>
      <w:r>
        <w:rPr>
          <w:rFonts w:ascii="Arial" w:cs="Arial" w:eastAsia="Arial" w:hAnsi="Arial"/>
          <w:color w:val="000000"/>
          <w:sz w:val="20"/>
          <w:szCs w:val="20"/>
        </w:rPr>
        <w:t xml:space="preserve">Kannengiesser K, et al. Melanocortin-Derived Tripeptide KPV Has Anti-Inflammatory Potential in Murine Models of Inflammatory Bowel Disease. Inflammatory Bowel Diseases. 2008;14(3):324-331.</w:t>
      </w:r>
    </w:p>
    <w:p>
      <w:pPr>
        <w:pStyle w:val="ListParagraph"/>
        <w:numPr>
          <w:ilvl w:val="0"/>
          <w:numId w:val="3"/>
        </w:numPr>
        <w:spacing w:after="80" w:line="300"/>
      </w:pPr>
      <w:r>
        <w:rPr>
          <w:rFonts w:ascii="Arial" w:cs="Arial" w:eastAsia="Arial" w:hAnsi="Arial"/>
          <w:color w:val="000000"/>
          <w:sz w:val="20"/>
          <w:szCs w:val="20"/>
        </w:rPr>
        <w:t xml:space="preserve">Luger TA, et al. New Insights into the Functions of Alpha-MSH and Related Peptides in the Immune System. Annals of the New York Academy of Sciences. 2003;994:133-140.</w:t>
      </w:r>
    </w:p>
    <w:p>
      <w:pPr>
        <w:pStyle w:val="ListParagraph"/>
        <w:numPr>
          <w:ilvl w:val="0"/>
          <w:numId w:val="3"/>
        </w:numPr>
        <w:spacing w:after="80" w:line="300"/>
      </w:pPr>
      <w:r>
        <w:rPr>
          <w:rFonts w:ascii="Arial" w:cs="Arial" w:eastAsia="Arial" w:hAnsi="Arial"/>
          <w:color w:val="000000"/>
          <w:sz w:val="20"/>
          <w:szCs w:val="20"/>
        </w:rPr>
        <w:t xml:space="preserve">Catania A, et al. Targeting Melanocortin Receptors as a Novel Strategy to Control Inflammation. Pharmacological Reviews. 2004;56(1):1-29.</w:t>
      </w:r>
    </w:p>
    <w:p>
      <w:pPr>
        <w:pStyle w:val="ListParagraph"/>
        <w:numPr>
          <w:ilvl w:val="0"/>
          <w:numId w:val="3"/>
        </w:numPr>
        <w:spacing w:after="80" w:line="300"/>
      </w:pPr>
      <w:r>
        <w:rPr>
          <w:rFonts w:ascii="Arial" w:cs="Arial" w:eastAsia="Arial" w:hAnsi="Arial"/>
          <w:color w:val="000000"/>
          <w:sz w:val="20"/>
          <w:szCs w:val="20"/>
        </w:rPr>
        <w:t xml:space="preserve">Bettenworth D, et al. The Tripeptide KPV Attenuates Intestinal Inflammation by Inhibiting NF-kappaB Activation. Inflammatory Bowel Diseases. 2011;17(6):1359-1370.</w:t>
      </w:r>
    </w:p>
    <w:p>
      <w:pPr>
        <w:pStyle w:val="ListParagraph"/>
        <w:numPr>
          <w:ilvl w:val="0"/>
          <w:numId w:val="3"/>
        </w:numPr>
        <w:spacing w:after="80" w:line="300"/>
      </w:pPr>
      <w:r>
        <w:rPr>
          <w:rFonts w:ascii="Arial" w:cs="Arial" w:eastAsia="Arial" w:hAnsi="Arial"/>
          <w:color w:val="000000"/>
          <w:sz w:val="20"/>
          <w:szCs w:val="20"/>
        </w:rPr>
        <w:t xml:space="preserve">Grieco P, et al. Design, Synthesis, and In Vitro Evaluation of Short Peptides for Inflammatory Bowel Disease Treatment. Journal of Medicinal Chemistry. 2005;48(5):1384-1388.</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KPV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KPV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KPV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2026-03-28T14:35:36.833Z</dcterms:created>
  <dcterms:modified xsi:type="dcterms:W3CDTF">2026-03-28T14:35:36.833Z</dcterms:modified>
</cp:coreProperties>
</file>

<file path=docProps/custom.xml><?xml version="1.0" encoding="utf-8"?>
<Properties xmlns="http://schemas.openxmlformats.org/officeDocument/2006/custom-properties" xmlns:vt="http://schemas.openxmlformats.org/officeDocument/2006/docPropsVTypes"/>
</file>