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Selank</w:t>
      </w:r>
    </w:p>
    <w:p>
      <w:pPr>
        <w:pBdr>
          <w:bottom w:val="single" w:color="CC0000" w:sz="6" w:space="8"/>
        </w:pBdr>
        <w:spacing w:after="100"/>
        <w:jc w:val="center"/>
      </w:pPr>
      <w:r>
        <w:rPr>
          <w:rFonts w:ascii="Arial" w:cs="Arial" w:eastAsia="Arial" w:hAnsi="Arial"/>
          <w:color w:val="555555"/>
          <w:sz w:val="22"/>
          <w:szCs w:val="22"/>
        </w:rPr>
        <w:t xml:space="preserve">Synthetic Heptapeptide | Tuftsin-Derived Anxiolytic Research</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Compound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Compound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Selank (TP-7)</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Synthetic Heptapeptide / Tuftsin Derivative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Amino Acid Sequence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Thr-Lys-Pro-Arg-Pro-Gly-Pro (7 amino acids)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Molecular Formula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C33H57N11O9</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751.91 g/mol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CAS Number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129954-34-3</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Biological Half-Life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Approximately 30 minutes (IN spray); ~15 min IV</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Greater than or equal to 99%</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Lyophilized, 2-8C, protected from light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Approved in Russia (anxiety disorders); ongoing preclinical &amp; clinical research elsewhere</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Selank is a synthetic heptapeptide derived from the C-terminal sequence of the natural immunomodulatory peptide tuftsin, developed at the Russian Academy of Medical Sciences. Its sequence (Thr-Lys-Pro-Arg-Pro-Gly-Pro) is engineered for enhanced metabolic stability and improved blood-brain barrier penetration compared to endogenous tuftsin.</w:t>
      </w:r>
    </w:p>
    <w:p>
      <w:pPr>
        <w:spacing w:after="160" w:line="300"/>
      </w:pPr>
      <w:r>
        <w:rPr>
          <w:rFonts w:ascii="Arial" w:cs="Arial" w:eastAsia="Arial" w:hAnsi="Arial"/>
          <w:color w:val="000000"/>
          <w:sz w:val="22"/>
          <w:szCs w:val="22"/>
        </w:rPr>
        <w:t xml:space="preserve">Approved in Russia for clinical use in generalized anxiety disorder and asthenic conditions, Selank is studied primarily for its anxiolytic and nootropic properties. In animal and human research, Selank modulates GABA, serotonin, and dopamine signaling, upregulates BDNF (brain-derived neurotrophic factor) expression, and influences enkephalin metabolism — all without sedation, dependence potential, or cognitive impairment seen with benzodiazepines.</w:t>
      </w:r>
    </w:p>
    <w:p>
      <w:pPr>
        <w:spacing w:after="160" w:line="300"/>
      </w:pPr>
      <w:r>
        <w:rPr>
          <w:rFonts w:ascii="Arial" w:cs="Arial" w:eastAsia="Arial" w:hAnsi="Arial"/>
          <w:color w:val="000000"/>
          <w:sz w:val="22"/>
          <w:szCs w:val="22"/>
        </w:rPr>
        <w:t xml:space="preserve">Selank has gained interest in research settings for its potential applications in anxiety, stress resilience, cognitive enhancement, immune modulation, and protection against ethanol/opioid withdrawal. For research use only — not for human consumption.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Mechanism of Action</w:t>
      </w:r>
    </w:p>
    <w:p>
      <w:pPr>
        <w:pStyle w:val="Heading2"/>
      </w:pPr>
      <w:r>
        <w:rPr>
          <w:rFonts w:ascii="Arial" w:cs="Arial" w:eastAsia="Arial" w:hAnsi="Arial"/>
          <w:b/>
          <w:bCs/>
          <w:color w:val="CC0000"/>
          <w:sz w:val="28"/>
          <w:szCs w:val="28"/>
        </w:rPr>
        <w:t xml:space="preserve">GABAergic Modulation</w:t>
      </w:r>
    </w:p>
    <w:p>
      <w:pPr>
        <w:spacing w:after="160" w:line="300"/>
      </w:pPr>
      <w:r>
        <w:rPr>
          <w:rFonts w:ascii="Arial" w:cs="Arial" w:eastAsia="Arial" w:hAnsi="Arial"/>
          <w:color w:val="000000"/>
          <w:sz w:val="22"/>
          <w:szCs w:val="22"/>
        </w:rPr>
        <w:t xml:space="preserve">Selank increases expression of GABA-A receptor subunits and modulates GABAergic transmission in the hippocampus, producing anxiolytic effects without binding directly to GABA receptors. Unlike benzodiazepines, Selank does not act as a positive allosteric modulator of GABA-A, avoiding sedation and tolerance.</w:t>
      </w:r>
    </w:p>
    <w:p>
      <w:pPr>
        <w:pStyle w:val="Heading2"/>
      </w:pPr>
      <w:r>
        <w:rPr>
          <w:rFonts w:ascii="Arial" w:cs="Arial" w:eastAsia="Arial" w:hAnsi="Arial"/>
          <w:b/>
          <w:bCs/>
          <w:color w:val="CC0000"/>
          <w:sz w:val="28"/>
          <w:szCs w:val="28"/>
        </w:rPr>
        <w:t xml:space="preserve">BDNF Upregulation</w:t>
      </w:r>
    </w:p>
    <w:p>
      <w:pPr>
        <w:spacing w:after="160" w:line="300"/>
      </w:pPr>
      <w:r>
        <w:rPr>
          <w:rFonts w:ascii="Arial" w:cs="Arial" w:eastAsia="Arial" w:hAnsi="Arial"/>
          <w:color w:val="000000"/>
          <w:sz w:val="22"/>
          <w:szCs w:val="22"/>
        </w:rPr>
        <w:t xml:space="preserve">Animal studies show Selank significantly upregulates BDNF mRNA expression in the hippocampus, supporting synaptic plasticity, neuronal survival, and long-term cognitive function. BDNF upregulation is a key mechanism shared with antidepressant pathways.</w:t>
      </w:r>
    </w:p>
    <w:p>
      <w:pPr>
        <w:pStyle w:val="Heading2"/>
      </w:pPr>
      <w:r>
        <w:rPr>
          <w:rFonts w:ascii="Arial" w:cs="Arial" w:eastAsia="Arial" w:hAnsi="Arial"/>
          <w:b/>
          <w:bCs/>
          <w:color w:val="CC0000"/>
          <w:sz w:val="28"/>
          <w:szCs w:val="28"/>
        </w:rPr>
        <w:t xml:space="preserve">Serotonin &amp; Dopamine Balance</w:t>
      </w:r>
    </w:p>
    <w:p>
      <w:pPr>
        <w:spacing w:after="160" w:line="300"/>
      </w:pPr>
      <w:r>
        <w:rPr>
          <w:rFonts w:ascii="Arial" w:cs="Arial" w:eastAsia="Arial" w:hAnsi="Arial"/>
          <w:color w:val="000000"/>
          <w:sz w:val="22"/>
          <w:szCs w:val="22"/>
        </w:rPr>
        <w:t xml:space="preserve">Selank modulates serotonin and dopamine turnover in brain regions associated with mood and emotional regulation. It influences tryptophan hydroxylase activity and 5-HT metabolite levels, contributing to its anxiolytic and stress-buffering profile.</w:t>
      </w:r>
    </w:p>
    <w:p>
      <w:pPr>
        <w:pStyle w:val="Heading2"/>
      </w:pPr>
      <w:r>
        <w:rPr>
          <w:rFonts w:ascii="Arial" w:cs="Arial" w:eastAsia="Arial" w:hAnsi="Arial"/>
          <w:b/>
          <w:bCs/>
          <w:color w:val="CC0000"/>
          <w:sz w:val="28"/>
          <w:szCs w:val="28"/>
        </w:rPr>
        <w:t xml:space="preserve">Enkephalin &amp; Immune Modulation</w:t>
      </w:r>
    </w:p>
    <w:p>
      <w:pPr>
        <w:spacing w:after="160" w:line="300"/>
      </w:pPr>
      <w:r>
        <w:rPr>
          <w:rFonts w:ascii="Arial" w:cs="Arial" w:eastAsia="Arial" w:hAnsi="Arial"/>
          <w:color w:val="000000"/>
          <w:sz w:val="22"/>
          <w:szCs w:val="22"/>
        </w:rPr>
        <w:t xml:space="preserve">Selank inhibits enkephalin-degrading enzymes, extending the activity of endogenous opioid peptides. It also displays tuftsin-like immunomodulatory effects — modulating interferon levels, NK cell activity, and pro/anti-inflammatory cytokine balance — relevant to research in stress-immune interactions.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Research Benefits</w:t>
      </w:r>
    </w:p>
    <w:p>
      <w:pPr>
        <w:pStyle w:val="Heading2"/>
      </w:pPr>
      <w:r>
        <w:rPr>
          <w:rFonts w:ascii="Arial" w:cs="Arial" w:eastAsia="Arial" w:hAnsi="Arial"/>
          <w:b/>
          <w:bCs/>
          <w:color w:val="CC0000"/>
          <w:sz w:val="28"/>
          <w:szCs w:val="28"/>
        </w:rPr>
        <w:t xml:space="preserve">Anxiety &amp; Stress</w:t>
      </w:r>
    </w:p>
    <w:p>
      <w:pPr>
        <w:pStyle w:val="ListParagraph"/>
        <w:numPr>
          <w:ilvl w:val="0"/>
          <w:numId w:val="2"/>
        </w:numPr>
        <w:spacing w:after="80" w:line="300"/>
      </w:pPr>
      <w:r>
        <w:rPr>
          <w:rFonts w:ascii="Arial" w:cs="Arial" w:eastAsia="Arial" w:hAnsi="Arial"/>
          <w:b/>
          <w:bCs/>
          <w:color w:val="CC0000"/>
          <w:sz w:val="22"/>
          <w:szCs w:val="22"/>
        </w:rPr>
        <w:t xml:space="preserve">Anxiolytic Activity: </w:t>
      </w:r>
      <w:r>
        <w:rPr>
          <w:rFonts w:ascii="Arial" w:cs="Arial" w:eastAsia="Arial" w:hAnsi="Arial"/>
          <w:color w:val="000000"/>
          <w:sz w:val="22"/>
          <w:szCs w:val="22"/>
        </w:rPr>
        <w:t xml:space="preserve">Russian clinical studies show comparable efficacy to benzodiazepines in generalized anxiety disorder without sedation or dependence.</w:t>
      </w:r>
    </w:p>
    <w:p>
      <w:pPr>
        <w:pStyle w:val="ListParagraph"/>
        <w:numPr>
          <w:ilvl w:val="0"/>
          <w:numId w:val="2"/>
        </w:numPr>
        <w:spacing w:after="80" w:line="300"/>
      </w:pPr>
      <w:r>
        <w:rPr>
          <w:rFonts w:ascii="Arial" w:cs="Arial" w:eastAsia="Arial" w:hAnsi="Arial"/>
          <w:b/>
          <w:bCs/>
          <w:color w:val="CC0000"/>
          <w:sz w:val="22"/>
          <w:szCs w:val="22"/>
        </w:rPr>
        <w:t xml:space="preserve">Stress Resilience: </w:t>
      </w:r>
      <w:r>
        <w:rPr>
          <w:rFonts w:ascii="Arial" w:cs="Arial" w:eastAsia="Arial" w:hAnsi="Arial"/>
          <w:color w:val="000000"/>
          <w:sz w:val="22"/>
          <w:szCs w:val="22"/>
        </w:rPr>
        <w:t xml:space="preserve">Reduces stress-induced behavioral and physiological responses in animal models of acute and chronic stress.</w:t>
      </w:r>
    </w:p>
    <w:p>
      <w:pPr>
        <w:pStyle w:val="ListParagraph"/>
        <w:numPr>
          <w:ilvl w:val="0"/>
          <w:numId w:val="2"/>
        </w:numPr>
        <w:spacing w:after="80" w:line="300"/>
      </w:pPr>
      <w:r>
        <w:rPr>
          <w:rFonts w:ascii="Arial" w:cs="Arial" w:eastAsia="Arial" w:hAnsi="Arial"/>
          <w:b/>
          <w:bCs/>
          <w:color w:val="CC0000"/>
          <w:sz w:val="22"/>
          <w:szCs w:val="22"/>
        </w:rPr>
        <w:t xml:space="preserve">Mood Support: </w:t>
      </w:r>
      <w:r>
        <w:rPr>
          <w:rFonts w:ascii="Arial" w:cs="Arial" w:eastAsia="Arial" w:hAnsi="Arial"/>
          <w:color w:val="000000"/>
          <w:sz w:val="22"/>
          <w:szCs w:val="22"/>
        </w:rPr>
        <w:t xml:space="preserve">Studied in research settings for asthenic-depressive states and adjustment-disorder symptoms.</w:t>
      </w:r>
    </w:p>
    <w:p>
      <w:pPr>
        <w:pStyle w:val="ListParagraph"/>
        <w:numPr>
          <w:ilvl w:val="0"/>
          <w:numId w:val="2"/>
        </w:numPr>
        <w:spacing w:after="80" w:line="300"/>
      </w:pPr>
      <w:r>
        <w:rPr>
          <w:rFonts w:ascii="Arial" w:cs="Arial" w:eastAsia="Arial" w:hAnsi="Arial"/>
          <w:b/>
          <w:bCs/>
          <w:color w:val="CC0000"/>
          <w:sz w:val="22"/>
          <w:szCs w:val="22"/>
        </w:rPr>
        <w:t xml:space="preserve">Withdrawal Mitigation: </w:t>
      </w:r>
      <w:r>
        <w:rPr>
          <w:rFonts w:ascii="Arial" w:cs="Arial" w:eastAsia="Arial" w:hAnsi="Arial"/>
          <w:color w:val="000000"/>
          <w:sz w:val="22"/>
          <w:szCs w:val="22"/>
        </w:rPr>
        <w:t xml:space="preserve">Investigated for attenuation of opioid and alcohol withdrawal-related anxiety in preclinical research.</w:t>
      </w:r>
    </w:p>
    <w:p>
      <w:pPr>
        <w:pStyle w:val="Heading2"/>
      </w:pPr>
      <w:r>
        <w:rPr>
          <w:rFonts w:ascii="Arial" w:cs="Arial" w:eastAsia="Arial" w:hAnsi="Arial"/>
          <w:b/>
          <w:bCs/>
          <w:color w:val="CC0000"/>
          <w:sz w:val="28"/>
          <w:szCs w:val="28"/>
        </w:rPr>
        <w:t xml:space="preserve">Cognitive &amp; Nootropic Research</w:t>
      </w:r>
    </w:p>
    <w:p>
      <w:pPr>
        <w:pStyle w:val="ListParagraph"/>
        <w:numPr>
          <w:ilvl w:val="0"/>
          <w:numId w:val="2"/>
        </w:numPr>
        <w:spacing w:after="80" w:line="300"/>
      </w:pPr>
      <w:r>
        <w:rPr>
          <w:rFonts w:ascii="Arial" w:cs="Arial" w:eastAsia="Arial" w:hAnsi="Arial"/>
          <w:b/>
          <w:bCs/>
          <w:color w:val="CC0000"/>
          <w:sz w:val="22"/>
          <w:szCs w:val="22"/>
        </w:rPr>
        <w:t xml:space="preserve">Memory &amp; Learning: </w:t>
      </w:r>
      <w:r>
        <w:rPr>
          <w:rFonts w:ascii="Arial" w:cs="Arial" w:eastAsia="Arial" w:hAnsi="Arial"/>
          <w:color w:val="000000"/>
          <w:sz w:val="22"/>
          <w:szCs w:val="22"/>
        </w:rPr>
        <w:t xml:space="preserve">Animal research shows improvements in learning, memory consolidation, and operant performance.</w:t>
      </w:r>
    </w:p>
    <w:p>
      <w:pPr>
        <w:pStyle w:val="ListParagraph"/>
        <w:numPr>
          <w:ilvl w:val="0"/>
          <w:numId w:val="2"/>
        </w:numPr>
        <w:spacing w:after="80" w:line="300"/>
      </w:pPr>
      <w:r>
        <w:rPr>
          <w:rFonts w:ascii="Arial" w:cs="Arial" w:eastAsia="Arial" w:hAnsi="Arial"/>
          <w:b/>
          <w:bCs/>
          <w:color w:val="CC0000"/>
          <w:sz w:val="22"/>
          <w:szCs w:val="22"/>
        </w:rPr>
        <w:t xml:space="preserve">Mental Performance: </w:t>
      </w:r>
      <w:r>
        <w:rPr>
          <w:rFonts w:ascii="Arial" w:cs="Arial" w:eastAsia="Arial" w:hAnsi="Arial"/>
          <w:color w:val="000000"/>
          <w:sz w:val="22"/>
          <w:szCs w:val="22"/>
        </w:rPr>
        <w:t xml:space="preserve">Human studies report subjective improvements in attention, processing speed, and mental fatigue.</w:t>
      </w:r>
    </w:p>
    <w:p>
      <w:pPr>
        <w:pStyle w:val="ListParagraph"/>
        <w:numPr>
          <w:ilvl w:val="0"/>
          <w:numId w:val="2"/>
        </w:numPr>
        <w:spacing w:after="80" w:line="300"/>
      </w:pPr>
      <w:r>
        <w:rPr>
          <w:rFonts w:ascii="Arial" w:cs="Arial" w:eastAsia="Arial" w:hAnsi="Arial"/>
          <w:b/>
          <w:bCs/>
          <w:color w:val="CC0000"/>
          <w:sz w:val="22"/>
          <w:szCs w:val="22"/>
        </w:rPr>
        <w:t xml:space="preserve">BDNF-Driven Plasticity: </w:t>
      </w:r>
      <w:r>
        <w:rPr>
          <w:rFonts w:ascii="Arial" w:cs="Arial" w:eastAsia="Arial" w:hAnsi="Arial"/>
          <w:color w:val="000000"/>
          <w:sz w:val="22"/>
          <w:szCs w:val="22"/>
        </w:rPr>
        <w:t xml:space="preserve">BDNF upregulation provides a mechanistic substrate for sustained cognitive and emotional effects.</w:t>
      </w:r>
    </w:p>
    <w:p>
      <w:pPr>
        <w:pStyle w:val="Heading2"/>
      </w:pPr>
      <w:r>
        <w:rPr>
          <w:rFonts w:ascii="Arial" w:cs="Arial" w:eastAsia="Arial" w:hAnsi="Arial"/>
          <w:b/>
          <w:bCs/>
          <w:color w:val="CC0000"/>
          <w:sz w:val="28"/>
          <w:szCs w:val="28"/>
        </w:rPr>
        <w:t xml:space="preserve">Immune Modulation Research</w:t>
      </w:r>
    </w:p>
    <w:p>
      <w:pPr>
        <w:pStyle w:val="ListParagraph"/>
        <w:numPr>
          <w:ilvl w:val="0"/>
          <w:numId w:val="2"/>
        </w:numPr>
        <w:spacing w:after="80" w:line="300"/>
      </w:pPr>
      <w:r>
        <w:rPr>
          <w:rFonts w:ascii="Arial" w:cs="Arial" w:eastAsia="Arial" w:hAnsi="Arial"/>
          <w:b/>
          <w:bCs/>
          <w:color w:val="CC0000"/>
          <w:sz w:val="22"/>
          <w:szCs w:val="22"/>
        </w:rPr>
        <w:t xml:space="preserve">Tuftsin-Like Activity: </w:t>
      </w:r>
      <w:r>
        <w:rPr>
          <w:rFonts w:ascii="Arial" w:cs="Arial" w:eastAsia="Arial" w:hAnsi="Arial"/>
          <w:color w:val="000000"/>
          <w:sz w:val="22"/>
          <w:szCs w:val="22"/>
        </w:rPr>
        <w:t xml:space="preserve">Selank shares the immunomodulatory profile of tuftsin, influencing NK cell cytotoxicity and cytokine balance.</w:t>
      </w:r>
    </w:p>
    <w:p>
      <w:pPr>
        <w:pStyle w:val="ListParagraph"/>
        <w:numPr>
          <w:ilvl w:val="0"/>
          <w:numId w:val="2"/>
        </w:numPr>
        <w:spacing w:after="80" w:line="300"/>
      </w:pPr>
      <w:r>
        <w:rPr>
          <w:rFonts w:ascii="Arial" w:cs="Arial" w:eastAsia="Arial" w:hAnsi="Arial"/>
          <w:b/>
          <w:bCs/>
          <w:color w:val="CC0000"/>
          <w:sz w:val="22"/>
          <w:szCs w:val="22"/>
        </w:rPr>
        <w:t xml:space="preserve">Interferon Modulation: </w:t>
      </w:r>
      <w:r>
        <w:rPr>
          <w:rFonts w:ascii="Arial" w:cs="Arial" w:eastAsia="Arial" w:hAnsi="Arial"/>
          <w:color w:val="000000"/>
          <w:sz w:val="22"/>
          <w:szCs w:val="22"/>
        </w:rPr>
        <w:t xml:space="preserve">Studies show modulation of leukocyte interferon production, of interest in stress-immune interaction research.</w:t>
      </w:r>
    </w:p>
    <w:p>
      <w:pPr>
        <w:pStyle w:val="ListParagraph"/>
        <w:numPr>
          <w:ilvl w:val="0"/>
          <w:numId w:val="2"/>
        </w:numPr>
        <w:spacing w:after="80" w:line="300"/>
      </w:pPr>
      <w:r>
        <w:rPr>
          <w:rFonts w:ascii="Arial" w:cs="Arial" w:eastAsia="Arial" w:hAnsi="Arial"/>
          <w:b/>
          <w:bCs/>
          <w:color w:val="CC0000"/>
          <w:sz w:val="22"/>
          <w:szCs w:val="22"/>
        </w:rPr>
        <w:t xml:space="preserve">Inflammatory Balance: </w:t>
      </w:r>
      <w:r>
        <w:rPr>
          <w:rFonts w:ascii="Arial" w:cs="Arial" w:eastAsia="Arial" w:hAnsi="Arial"/>
          <w:color w:val="000000"/>
          <w:sz w:val="22"/>
          <w:szCs w:val="22"/>
        </w:rPr>
        <w:t xml:space="preserve">Influences pro- and anti-inflammatory cytokine balance in models of chronic stress.</w:t>
      </w:r>
    </w:p>
    <w:p>
      <w:pPr>
        <w:pStyle w:val="Heading2"/>
      </w:pPr>
      <w:r>
        <w:rPr>
          <w:rFonts w:ascii="Arial" w:cs="Arial" w:eastAsia="Arial" w:hAnsi="Arial"/>
          <w:b/>
          <w:bCs/>
          <w:color w:val="CC0000"/>
          <w:sz w:val="28"/>
          <w:szCs w:val="28"/>
        </w:rPr>
        <w:t xml:space="preserve">Neuroprotection &amp; Healthspan</w:t>
      </w:r>
    </w:p>
    <w:p>
      <w:pPr>
        <w:pStyle w:val="ListParagraph"/>
        <w:numPr>
          <w:ilvl w:val="0"/>
          <w:numId w:val="2"/>
        </w:numPr>
        <w:spacing w:after="80" w:line="300"/>
      </w:pPr>
      <w:r>
        <w:rPr>
          <w:rFonts w:ascii="Arial" w:cs="Arial" w:eastAsia="Arial" w:hAnsi="Arial"/>
          <w:b/>
          <w:bCs/>
          <w:color w:val="CC0000"/>
          <w:sz w:val="22"/>
          <w:szCs w:val="22"/>
        </w:rPr>
        <w:t xml:space="preserve">Neuroprotective Effects: </w:t>
      </w:r>
      <w:r>
        <w:rPr>
          <w:rFonts w:ascii="Arial" w:cs="Arial" w:eastAsia="Arial" w:hAnsi="Arial"/>
          <w:color w:val="000000"/>
          <w:sz w:val="22"/>
          <w:szCs w:val="22"/>
        </w:rPr>
        <w:t xml:space="preserve">Preclinical models suggest protective effects on hippocampal neurons under stress/ischemia conditions.</w:t>
      </w:r>
    </w:p>
    <w:p>
      <w:pPr>
        <w:pStyle w:val="ListParagraph"/>
        <w:numPr>
          <w:ilvl w:val="0"/>
          <w:numId w:val="2"/>
        </w:numPr>
        <w:spacing w:after="80" w:line="300"/>
      </w:pPr>
      <w:r>
        <w:rPr>
          <w:rFonts w:ascii="Arial" w:cs="Arial" w:eastAsia="Arial" w:hAnsi="Arial"/>
          <w:b/>
          <w:bCs/>
          <w:color w:val="CC0000"/>
          <w:sz w:val="22"/>
          <w:szCs w:val="22"/>
        </w:rPr>
        <w:t xml:space="preserve">BBB Penetration: </w:t>
      </w:r>
      <w:r>
        <w:rPr>
          <w:rFonts w:ascii="Arial" w:cs="Arial" w:eastAsia="Arial" w:hAnsi="Arial"/>
          <w:color w:val="000000"/>
          <w:sz w:val="22"/>
          <w:szCs w:val="22"/>
        </w:rPr>
        <w:t xml:space="preserve">Designed for blood-brain barrier penetration via intranasal route, achieving central effects rapidly.</w:t>
      </w:r>
    </w:p>
    <w:p>
      <w:pPr>
        <w:pStyle w:val="ListParagraph"/>
        <w:numPr>
          <w:ilvl w:val="0"/>
          <w:numId w:val="2"/>
        </w:numPr>
        <w:spacing w:after="80" w:line="300"/>
      </w:pPr>
      <w:r>
        <w:rPr>
          <w:rFonts w:ascii="Arial" w:cs="Arial" w:eastAsia="Arial" w:hAnsi="Arial"/>
          <w:b/>
          <w:bCs/>
          <w:color w:val="CC0000"/>
          <w:sz w:val="22"/>
          <w:szCs w:val="22"/>
        </w:rPr>
        <w:t xml:space="preserve">Healthspan Markers: </w:t>
      </w:r>
      <w:r>
        <w:rPr>
          <w:rFonts w:ascii="Arial" w:cs="Arial" w:eastAsia="Arial" w:hAnsi="Arial"/>
          <w:color w:val="000000"/>
          <w:sz w:val="22"/>
          <w:szCs w:val="22"/>
        </w:rPr>
        <w:t xml:space="preserve">Researched for combined cognitive-emotional benefits relevant to healthy aging studies.</w:t>
      </w:r>
    </w:p>
    <w:p>
      <w:pPr>
        <w:pStyle w:val="Heading2"/>
      </w:pPr>
      <w:r>
        <w:rPr>
          <w:rFonts w:ascii="Arial" w:cs="Arial" w:eastAsia="Arial" w:hAnsi="Arial"/>
          <w:b/>
          <w:bCs/>
          <w:color w:val="CC0000"/>
          <w:sz w:val="28"/>
          <w:szCs w:val="28"/>
        </w:rPr>
        <w:t xml:space="preserve">Clinical &amp; Research Status</w:t>
      </w:r>
    </w:p>
    <w:p>
      <w:pPr>
        <w:pStyle w:val="ListParagraph"/>
        <w:numPr>
          <w:ilvl w:val="0"/>
          <w:numId w:val="2"/>
        </w:numPr>
        <w:spacing w:after="80" w:line="300"/>
      </w:pPr>
      <w:r>
        <w:rPr>
          <w:rFonts w:ascii="Arial" w:cs="Arial" w:eastAsia="Arial" w:hAnsi="Arial"/>
          <w:b/>
          <w:bCs/>
          <w:color w:val="CC0000"/>
          <w:sz w:val="22"/>
          <w:szCs w:val="22"/>
        </w:rPr>
        <w:t xml:space="preserve">Approved Use: </w:t>
      </w:r>
      <w:r>
        <w:rPr>
          <w:rFonts w:ascii="Arial" w:cs="Arial" w:eastAsia="Arial" w:hAnsi="Arial"/>
          <w:color w:val="000000"/>
          <w:sz w:val="22"/>
          <w:szCs w:val="22"/>
        </w:rPr>
        <w:t xml:space="preserve">Approved by the Russian Ministry of Health for generalized anxiety disorder and asthenic conditions.</w:t>
      </w:r>
    </w:p>
    <w:p>
      <w:pPr>
        <w:pStyle w:val="ListParagraph"/>
        <w:numPr>
          <w:ilvl w:val="0"/>
          <w:numId w:val="2"/>
        </w:numPr>
        <w:spacing w:after="80" w:line="300"/>
      </w:pPr>
      <w:r>
        <w:rPr>
          <w:rFonts w:ascii="Arial" w:cs="Arial" w:eastAsia="Arial" w:hAnsi="Arial"/>
          <w:b/>
          <w:bCs/>
          <w:color w:val="CC0000"/>
          <w:sz w:val="22"/>
          <w:szCs w:val="22"/>
        </w:rPr>
        <w:t xml:space="preserve">Outside Russia: </w:t>
      </w:r>
      <w:r>
        <w:rPr>
          <w:rFonts w:ascii="Arial" w:cs="Arial" w:eastAsia="Arial" w:hAnsi="Arial"/>
          <w:color w:val="000000"/>
          <w:sz w:val="22"/>
          <w:szCs w:val="22"/>
        </w:rPr>
        <w:t xml:space="preserve">Available globally as a research compound; not approved by the FDA.</w:t>
      </w:r>
    </w:p>
    <w:p>
      <w:pPr>
        <w:pStyle w:val="ListParagraph"/>
        <w:numPr>
          <w:ilvl w:val="0"/>
          <w:numId w:val="2"/>
        </w:numPr>
        <w:spacing w:after="80" w:line="300"/>
      </w:pPr>
      <w:r>
        <w:rPr>
          <w:rFonts w:ascii="Arial" w:cs="Arial" w:eastAsia="Arial" w:hAnsi="Arial"/>
          <w:b/>
          <w:bCs/>
          <w:color w:val="CC0000"/>
          <w:sz w:val="22"/>
          <w:szCs w:val="22"/>
        </w:rPr>
        <w:t xml:space="preserve">Research Use: </w:t>
      </w:r>
      <w:r>
        <w:rPr>
          <w:rFonts w:ascii="Arial" w:cs="Arial" w:eastAsia="Arial" w:hAnsi="Arial"/>
          <w:color w:val="000000"/>
          <w:sz w:val="22"/>
          <w:szCs w:val="22"/>
        </w:rPr>
        <w:t xml:space="preserve">Widely studied in academic research settings for anxiety, cognition, and immune modulation.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dosage information is provided for research reference purposes only. Selank is for laboratory research use only and is not intended for human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Russian Clinical Dose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500-750 mcg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 Intranasal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Once daily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Research Low</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250 mcg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 Intranasal</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Once daily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Research Standard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500-750 mcg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 Intranasal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Once daily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Cycling Protocol</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500-750 mcg daily x 3-6 months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 Intranasal</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Then break for 1-2 weeks</w:t>
            </w:r>
          </w:p>
        </w:tc>
      </w:tr>
    </w:tbl>
    <w:p>
      <w:pPr>
        <w:spacing w:before="200"/>
      </w:pPr>
    </w:p>
    <w:p>
      <w:pPr>
        <w:pStyle w:val="Heading2"/>
      </w:pPr>
      <w:r>
        <w:rPr>
          <w:rFonts w:ascii="Arial" w:cs="Arial" w:eastAsia="Arial" w:hAnsi="Arial"/>
          <w:b/>
          <w:bCs/>
          <w:color w:val="CC0000"/>
          <w:sz w:val="28"/>
          <w:szCs w:val="28"/>
        </w:rPr>
        <w:t xml:space="preserve">Reconstitution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Solvent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Sterile bacteriostatic water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Reconstitution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2 mL BAC water per 10mg vial (5 mg/mL)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Mixing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Gently swirl until dissolved; do not shake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Refrigerate at 2-8C, use within 21 days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Subcutaneous abdomen; intranasal sprays also studied. Rotate sites.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Timing</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Once daily or split AM/PM per protocol</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Selank has an established clinical safety profile from over a decade of Russian clinical use:</w:t>
      </w:r>
    </w:p>
    <w:p>
      <w:pPr>
        <w:pStyle w:val="ListParagraph"/>
        <w:numPr>
          <w:ilvl w:val="0"/>
          <w:numId w:val="2"/>
        </w:numPr>
        <w:spacing w:after="80" w:line="300"/>
      </w:pPr>
      <w:r>
        <w:rPr>
          <w:rFonts w:ascii="Arial" w:cs="Arial" w:eastAsia="Arial" w:hAnsi="Arial"/>
          <w:b/>
          <w:bCs/>
          <w:color w:val="CC0000"/>
          <w:sz w:val="22"/>
          <w:szCs w:val="22"/>
        </w:rPr>
        <w:t xml:space="preserve">General Tolerability: </w:t>
      </w:r>
      <w:r>
        <w:rPr>
          <w:rFonts w:ascii="Arial" w:cs="Arial" w:eastAsia="Arial" w:hAnsi="Arial"/>
          <w:color w:val="000000"/>
          <w:sz w:val="22"/>
          <w:szCs w:val="22"/>
        </w:rPr>
        <w:t xml:space="preserve">Well tolerated in clinical trials with low rates of adverse events; no dependence or tolerance reported.</w:t>
      </w:r>
    </w:p>
    <w:p>
      <w:pPr>
        <w:pStyle w:val="ListParagraph"/>
        <w:numPr>
          <w:ilvl w:val="0"/>
          <w:numId w:val="2"/>
        </w:numPr>
        <w:spacing w:after="80" w:line="300"/>
      </w:pPr>
      <w:r>
        <w:rPr>
          <w:rFonts w:ascii="Arial" w:cs="Arial" w:eastAsia="Arial" w:hAnsi="Arial"/>
          <w:b/>
          <w:bCs/>
          <w:color w:val="CC0000"/>
          <w:sz w:val="22"/>
          <w:szCs w:val="22"/>
        </w:rPr>
        <w:t xml:space="preserve">Injection Site Reactions: </w:t>
      </w:r>
      <w:r>
        <w:rPr>
          <w:rFonts w:ascii="Arial" w:cs="Arial" w:eastAsia="Arial" w:hAnsi="Arial"/>
          <w:color w:val="000000"/>
          <w:sz w:val="22"/>
          <w:szCs w:val="22"/>
        </w:rPr>
        <w:t xml:space="preserve">Mild transient irritation possible with subcutaneous or intranasal administration.</w:t>
      </w:r>
    </w:p>
    <w:p>
      <w:pPr>
        <w:pStyle w:val="ListParagraph"/>
        <w:numPr>
          <w:ilvl w:val="0"/>
          <w:numId w:val="2"/>
        </w:numPr>
        <w:spacing w:after="80" w:line="300"/>
      </w:pPr>
      <w:r>
        <w:rPr>
          <w:rFonts w:ascii="Arial" w:cs="Arial" w:eastAsia="Arial" w:hAnsi="Arial"/>
          <w:b/>
          <w:bCs/>
          <w:color w:val="CC0000"/>
          <w:sz w:val="22"/>
          <w:szCs w:val="22"/>
        </w:rPr>
        <w:t xml:space="preserve">Arthralgia &amp; Myalgia: </w:t>
      </w:r>
      <w:r>
        <w:rPr>
          <w:rFonts w:ascii="Arial" w:cs="Arial" w:eastAsia="Arial" w:hAnsi="Arial"/>
          <w:color w:val="000000"/>
          <w:sz w:val="22"/>
          <w:szCs w:val="22"/>
        </w:rPr>
        <w:t xml:space="preserve">Rarely reported; not characteristic of Selank in clinical trials.</w:t>
      </w:r>
    </w:p>
    <w:p>
      <w:pPr>
        <w:pStyle w:val="ListParagraph"/>
        <w:numPr>
          <w:ilvl w:val="0"/>
          <w:numId w:val="2"/>
        </w:numPr>
        <w:spacing w:after="80" w:line="300"/>
      </w:pPr>
      <w:r>
        <w:rPr>
          <w:rFonts w:ascii="Arial" w:cs="Arial" w:eastAsia="Arial" w:hAnsi="Arial"/>
          <w:b/>
          <w:bCs/>
          <w:color w:val="CC0000"/>
          <w:sz w:val="22"/>
          <w:szCs w:val="22"/>
        </w:rPr>
        <w:t xml:space="preserve">Peripheral Edema: </w:t>
      </w:r>
      <w:r>
        <w:rPr>
          <w:rFonts w:ascii="Arial" w:cs="Arial" w:eastAsia="Arial" w:hAnsi="Arial"/>
          <w:color w:val="000000"/>
          <w:sz w:val="22"/>
          <w:szCs w:val="22"/>
        </w:rPr>
        <w:t xml:space="preserve">Not characteristic of Selank.</w:t>
      </w:r>
    </w:p>
    <w:p>
      <w:pPr>
        <w:pStyle w:val="ListParagraph"/>
        <w:numPr>
          <w:ilvl w:val="0"/>
          <w:numId w:val="2"/>
        </w:numPr>
        <w:spacing w:after="80" w:line="300"/>
      </w:pPr>
      <w:r>
        <w:rPr>
          <w:rFonts w:ascii="Arial" w:cs="Arial" w:eastAsia="Arial" w:hAnsi="Arial"/>
          <w:b/>
          <w:bCs/>
          <w:color w:val="CC0000"/>
          <w:sz w:val="22"/>
          <w:szCs w:val="22"/>
        </w:rPr>
        <w:t xml:space="preserve">Glucose Metabolism: </w:t>
      </w:r>
      <w:r>
        <w:rPr>
          <w:rFonts w:ascii="Arial" w:cs="Arial" w:eastAsia="Arial" w:hAnsi="Arial"/>
          <w:color w:val="000000"/>
          <w:sz w:val="22"/>
          <w:szCs w:val="22"/>
        </w:rPr>
        <w:t xml:space="preserve">No clinically significant effects on glucose metabolism reported.</w:t>
      </w:r>
    </w:p>
    <w:p>
      <w:pPr>
        <w:pStyle w:val="ListParagraph"/>
        <w:numPr>
          <w:ilvl w:val="0"/>
          <w:numId w:val="2"/>
        </w:numPr>
        <w:spacing w:after="80" w:line="300"/>
      </w:pPr>
      <w:r>
        <w:rPr>
          <w:rFonts w:ascii="Arial" w:cs="Arial" w:eastAsia="Arial" w:hAnsi="Arial"/>
          <w:b/>
          <w:bCs/>
          <w:color w:val="CC0000"/>
          <w:sz w:val="22"/>
          <w:szCs w:val="22"/>
        </w:rPr>
        <w:t xml:space="preserve">IGF-1 Monitoring: </w:t>
      </w:r>
      <w:r>
        <w:rPr>
          <w:rFonts w:ascii="Arial" w:cs="Arial" w:eastAsia="Arial" w:hAnsi="Arial"/>
          <w:color w:val="000000"/>
          <w:sz w:val="22"/>
          <w:szCs w:val="22"/>
        </w:rPr>
        <w:t xml:space="preserve">No routine endocrine monitoring required in published research protocols.</w:t>
      </w:r>
    </w:p>
    <w:p>
      <w:pPr>
        <w:pStyle w:val="ListParagraph"/>
        <w:numPr>
          <w:ilvl w:val="0"/>
          <w:numId w:val="2"/>
        </w:numPr>
        <w:spacing w:after="80" w:line="300"/>
      </w:pPr>
      <w:r>
        <w:rPr>
          <w:rFonts w:ascii="Arial" w:cs="Arial" w:eastAsia="Arial" w:hAnsi="Arial"/>
          <w:b/>
          <w:bCs/>
          <w:color w:val="CC0000"/>
          <w:sz w:val="22"/>
          <w:szCs w:val="22"/>
        </w:rPr>
        <w:t xml:space="preserve">Contraindications: </w:t>
      </w:r>
      <w:r>
        <w:rPr>
          <w:rFonts w:ascii="Arial" w:cs="Arial" w:eastAsia="Arial" w:hAnsi="Arial"/>
          <w:color w:val="000000"/>
          <w:sz w:val="22"/>
          <w:szCs w:val="22"/>
        </w:rPr>
        <w:t xml:space="preserve">Known hypersensitivity to the compound. Limited safety data in pregnancy and lactation.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Kozlovskaya MM, Kozlovskii II, Val'dman EA, Seredenin SB. Selank and short peptides of the tuftsin family in the regulation of adaptive behavior in stress. Neuroscience and Behavioral Physiology. 2003;33(6):639-643.</w:t>
      </w:r>
    </w:p>
    <w:p>
      <w:pPr>
        <w:pStyle w:val="ListParagraph"/>
        <w:numPr>
          <w:ilvl w:val="0"/>
          <w:numId w:val="3"/>
        </w:numPr>
        <w:spacing w:after="80" w:line="300"/>
      </w:pPr>
      <w:r>
        <w:rPr>
          <w:rFonts w:ascii="Arial" w:cs="Arial" w:eastAsia="Arial" w:hAnsi="Arial"/>
          <w:color w:val="000000"/>
          <w:sz w:val="20"/>
          <w:szCs w:val="20"/>
        </w:rPr>
        <w:t xml:space="preserve">Zozulya AA, et al. The Anxiolytic Effect of Selank Is Predominantly Mediated by GABA-ergic Mechanisms. Bulletin of Experimental Biology and Medicine. 2001;131(4):343-345.</w:t>
      </w:r>
    </w:p>
    <w:p>
      <w:pPr>
        <w:pStyle w:val="ListParagraph"/>
        <w:numPr>
          <w:ilvl w:val="0"/>
          <w:numId w:val="3"/>
        </w:numPr>
        <w:spacing w:after="80" w:line="300"/>
      </w:pPr>
      <w:r>
        <w:rPr>
          <w:rFonts w:ascii="Arial" w:cs="Arial" w:eastAsia="Arial" w:hAnsi="Arial"/>
          <w:color w:val="000000"/>
          <w:sz w:val="20"/>
          <w:szCs w:val="20"/>
        </w:rPr>
        <w:t xml:space="preserve">Inozemtseva LS, et al. Effects of the Peptide Selank on BDNF Expression in Rat Brain. Bulletin of Experimental Biology and Medicine. 2008;145(6):732-734.</w:t>
      </w:r>
    </w:p>
    <w:p>
      <w:pPr>
        <w:pStyle w:val="ListParagraph"/>
        <w:numPr>
          <w:ilvl w:val="0"/>
          <w:numId w:val="3"/>
        </w:numPr>
        <w:spacing w:after="80" w:line="300"/>
      </w:pPr>
      <w:r>
        <w:rPr>
          <w:rFonts w:ascii="Arial" w:cs="Arial" w:eastAsia="Arial" w:hAnsi="Arial"/>
          <w:color w:val="000000"/>
          <w:sz w:val="20"/>
          <w:szCs w:val="20"/>
        </w:rPr>
        <w:t xml:space="preserve">Volkova A, et al. Selank Administration Affects the Expression of Some Genes Involved in GABAergic Neurotransmission. Frontiers in Pharmacology. 2016;7:31.</w:t>
      </w:r>
    </w:p>
    <w:p>
      <w:pPr>
        <w:pStyle w:val="ListParagraph"/>
        <w:numPr>
          <w:ilvl w:val="0"/>
          <w:numId w:val="3"/>
        </w:numPr>
        <w:spacing w:after="80" w:line="300"/>
      </w:pPr>
      <w:r>
        <w:rPr>
          <w:rFonts w:ascii="Arial" w:cs="Arial" w:eastAsia="Arial" w:hAnsi="Arial"/>
          <w:color w:val="000000"/>
          <w:sz w:val="20"/>
          <w:szCs w:val="20"/>
        </w:rPr>
        <w:t xml:space="preserve">Medvedev VE, Tereshchenko OV, et al. The Use of Selank in the Treatment of Generalized Anxiety Disorder. Zh Nevrol Psikhiatr Im S S Korsakova. 2014;114(7):17-23.</w:t>
      </w:r>
    </w:p>
    <w:p>
      <w:pPr>
        <w:pStyle w:val="ListParagraph"/>
        <w:numPr>
          <w:ilvl w:val="0"/>
          <w:numId w:val="3"/>
        </w:numPr>
        <w:spacing w:after="80" w:line="300"/>
      </w:pPr>
      <w:r>
        <w:rPr>
          <w:rFonts w:ascii="Arial" w:cs="Arial" w:eastAsia="Arial" w:hAnsi="Arial"/>
          <w:color w:val="000000"/>
          <w:sz w:val="20"/>
          <w:szCs w:val="20"/>
        </w:rPr>
        <w:t xml:space="preserve">Vyunova TV, et al. Peptide Selank — Receptor Profile and Possible Mechanisms of Anxiolytic Activity. Neuropeptides. 2018;71:78-85.</w:t>
      </w:r>
    </w:p>
    <w:p>
      <w:pPr>
        <w:pStyle w:val="ListParagraph"/>
        <w:numPr>
          <w:ilvl w:val="0"/>
          <w:numId w:val="3"/>
        </w:numPr>
        <w:spacing w:after="80" w:line="300"/>
      </w:pPr>
      <w:r>
        <w:rPr>
          <w:rFonts w:ascii="Arial" w:cs="Arial" w:eastAsia="Arial" w:hAnsi="Arial"/>
          <w:color w:val="000000"/>
          <w:sz w:val="20"/>
          <w:szCs w:val="20"/>
        </w:rPr>
        <w:t xml:space="preserve">Filatova EV, et al. Selank Effect on the Mood and Anxiety in Patients with Anxiety Disorders. Bulletin of Experimental Biology and Medicine. 2018;164:597-601.</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Selank is sold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Selank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Selank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2026-03-28T14:24:36.139Z</dcterms:created>
  <dcterms:modified xsi:type="dcterms:W3CDTF">2026-03-28T14:24:36.139Z</dcterms:modified>
</cp:coreProperties>
</file>

<file path=docProps/custom.xml><?xml version="1.0" encoding="utf-8"?>
<Properties xmlns="http://schemas.openxmlformats.org/officeDocument/2006/custom-properties" xmlns:vt="http://schemas.openxmlformats.org/officeDocument/2006/docPropsVTypes"/>
</file>