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SS-31</w:t>
      </w:r>
    </w:p>
    <w:p>
      <w:pPr>
        <w:pBdr>
          <w:bottom w:val="single" w:color="CC0000" w:sz="6" w:space="8"/>
        </w:pBdr>
        <w:spacing w:after="100"/>
        <w:jc w:val="center"/>
      </w:pPr>
      <w:r>
        <w:rPr>
          <w:rFonts w:ascii="Arial" w:cs="Arial" w:eastAsia="Arial" w:hAnsi="Arial"/>
          <w:color w:val="555555"/>
          <w:sz w:val="22"/>
          <w:szCs w:val="22"/>
        </w:rPr>
        <w:t xml:space="preserve">Elamipretide | Mitochondria-Targeted Cardiolipin Stabilizer</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Compound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SS-31 (Elamipretide / Bendavia / MTP-131)</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Mitochondria-Targeted Tetrapeptide (Szeto-Schiller Peptide)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Amino Acid Sequence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D-Arg-Dmt-Lys-Phe-NH2 (4 amino acids)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Molecular Formula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C32H49N9O5</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639.79 g/mol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CAS Number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736992-21-5</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Approximately 3-6 hours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Greater than or equal to 99%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Lyophilized, -20C, protected from light and moisture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Phase II/III clinical trials (Barth syndrome, heart failure, AMI)</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SS-31, also known as Elamipretide, is a cell-permeable synthetic tetrapeptide developed by Dr. Hazel Szeto and Dr. Peter Bhatt Schiller at Weill Cornell Medical College. It belongs to the Szeto-Schiller (SS) family of mitochondria-targeted peptides, designed to selectively concentrate in the inner mitochondrial membrane over 1,000-fold relative to the cytosol.</w:t>
      </w:r>
    </w:p>
    <w:p>
      <w:pPr>
        <w:spacing w:after="160" w:line="300"/>
      </w:pPr>
      <w:r>
        <w:rPr>
          <w:rFonts w:ascii="Arial" w:cs="Arial" w:eastAsia="Arial" w:hAnsi="Arial"/>
          <w:color w:val="000000"/>
          <w:sz w:val="22"/>
          <w:szCs w:val="22"/>
        </w:rPr>
        <w:t xml:space="preserve">SS-31 selectively binds to cardiolipin, a unique phospholipid found almost exclusively in the inner mitochondrial membrane. Cardiolipin is essential for cristae formation, electron transport chain (ETC) supercomplex assembly, and ATP synthase function. By stabilizing cardiolipin interactions, SS-31 restores mitochondrial bioenergetics and reduces excessive reactive oxygen species (ROS) production at the source.</w:t>
      </w:r>
    </w:p>
    <w:p>
      <w:pPr>
        <w:spacing w:after="160" w:line="300"/>
      </w:pPr>
      <w:r>
        <w:rPr>
          <w:rFonts w:ascii="Arial" w:cs="Arial" w:eastAsia="Arial" w:hAnsi="Arial"/>
          <w:color w:val="000000"/>
          <w:sz w:val="22"/>
          <w:szCs w:val="22"/>
        </w:rPr>
        <w:t xml:space="preserve">Unlike conventional antioxidants that scavenge ROS after they are produced, SS-31 optimizes electron transfer through the ETC, preventing electron leak and ROS overproduction. This mechanism makes it uniquely effective in conditions driven by mitochondrial dysfunction.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Cardiolipin Stabilization</w:t>
      </w:r>
    </w:p>
    <w:p>
      <w:pPr>
        <w:spacing w:after="160" w:line="300"/>
      </w:pPr>
      <w:r>
        <w:rPr>
          <w:rFonts w:ascii="Arial" w:cs="Arial" w:eastAsia="Arial" w:hAnsi="Arial"/>
          <w:color w:val="000000"/>
          <w:sz w:val="22"/>
          <w:szCs w:val="22"/>
        </w:rPr>
        <w:t xml:space="preserve">SS-31 binds to cardiolipin through electrostatic and hydrophobic interactions, stabilizing its structure within the inner mitochondrial membrane. This preserves cristae architecture, prevents cytochrome c peroxidase activity, and maintains optimal distance between ETC complexes for efficient electron transfer.</w:t>
      </w:r>
    </w:p>
    <w:p>
      <w:pPr>
        <w:pStyle w:val="Heading2"/>
      </w:pPr>
      <w:r>
        <w:rPr>
          <w:rFonts w:ascii="Arial" w:cs="Arial" w:eastAsia="Arial" w:hAnsi="Arial"/>
          <w:b/>
          <w:bCs/>
          <w:color w:val="CC0000"/>
          <w:sz w:val="28"/>
          <w:szCs w:val="28"/>
        </w:rPr>
        <w:t xml:space="preserve">Electron Transport Chain Optimization</w:t>
      </w:r>
    </w:p>
    <w:p>
      <w:pPr>
        <w:spacing w:after="160" w:line="300"/>
      </w:pPr>
      <w:r>
        <w:rPr>
          <w:rFonts w:ascii="Arial" w:cs="Arial" w:eastAsia="Arial" w:hAnsi="Arial"/>
          <w:color w:val="000000"/>
          <w:sz w:val="22"/>
          <w:szCs w:val="22"/>
        </w:rPr>
        <w:t xml:space="preserve">By stabilizing cardiolipin-dependent supercomplex assembly (Complexes I, III, and IV), SS-31 enhances electron flow through the ETC, increasing ATP production while simultaneously reducing electron leak that generates superoxide radicals. This dual effect restores the coupling efficiency of oxidative phosphorylation.</w:t>
      </w:r>
    </w:p>
    <w:p>
      <w:pPr>
        <w:pStyle w:val="Heading2"/>
      </w:pPr>
      <w:r>
        <w:rPr>
          <w:rFonts w:ascii="Arial" w:cs="Arial" w:eastAsia="Arial" w:hAnsi="Arial"/>
          <w:b/>
          <w:bCs/>
          <w:color w:val="CC0000"/>
          <w:sz w:val="28"/>
          <w:szCs w:val="28"/>
        </w:rPr>
        <w:t xml:space="preserve">Mitochondrial Permeability Transition Prevention</w:t>
      </w:r>
    </w:p>
    <w:p>
      <w:pPr>
        <w:spacing w:after="160" w:line="300"/>
      </w:pPr>
      <w:r>
        <w:rPr>
          <w:rFonts w:ascii="Arial" w:cs="Arial" w:eastAsia="Arial" w:hAnsi="Arial"/>
          <w:color w:val="000000"/>
          <w:sz w:val="22"/>
          <w:szCs w:val="22"/>
        </w:rPr>
        <w:t xml:space="preserve">SS-31 inhibits opening of the mitochondrial permeability transition pore (mPTP), a critical event in ischemia-reperfusion injury and apoptosis. This prevents mitochondrial swelling, cytochrome c release, and downstream caspase activation, preserving cell viability under stress conditions.</w:t>
      </w:r>
    </w:p>
    <w:p>
      <w:pPr>
        <w:pStyle w:val="Heading2"/>
      </w:pPr>
      <w:r>
        <w:rPr>
          <w:rFonts w:ascii="Arial" w:cs="Arial" w:eastAsia="Arial" w:hAnsi="Arial"/>
          <w:b/>
          <w:bCs/>
          <w:color w:val="CC0000"/>
          <w:sz w:val="28"/>
          <w:szCs w:val="28"/>
        </w:rPr>
        <w:t xml:space="preserve">ROS Reduction at Source</w:t>
      </w:r>
    </w:p>
    <w:p>
      <w:pPr>
        <w:spacing w:after="160" w:line="300"/>
      </w:pPr>
      <w:r>
        <w:rPr>
          <w:rFonts w:ascii="Arial" w:cs="Arial" w:eastAsia="Arial" w:hAnsi="Arial"/>
          <w:color w:val="000000"/>
          <w:sz w:val="22"/>
          <w:szCs w:val="22"/>
        </w:rPr>
        <w:t xml:space="preserve">Rather than scavenging ROS after formation, SS-31 reduces ROS generation at Complex I and Complex III by preventing electron leak. This upstream approach is fundamentally more effective than conventional antioxidant strategies and preserves necessary ROS signaling at physiological levels.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Cardiac Function &amp; Heart Failure</w:t>
      </w:r>
    </w:p>
    <w:p>
      <w:pPr>
        <w:pStyle w:val="ListParagraph"/>
        <w:numPr>
          <w:ilvl w:val="0"/>
          <w:numId w:val="2"/>
        </w:numPr>
        <w:spacing w:after="80" w:line="300"/>
      </w:pPr>
      <w:r>
        <w:rPr>
          <w:rFonts w:ascii="Arial" w:cs="Arial" w:eastAsia="Arial" w:hAnsi="Arial"/>
          <w:b/>
          <w:bCs/>
          <w:color w:val="CC0000"/>
          <w:sz w:val="22"/>
          <w:szCs w:val="22"/>
        </w:rPr>
        <w:t xml:space="preserve">Heart Failure: </w:t>
      </w:r>
      <w:r>
        <w:rPr>
          <w:rFonts w:ascii="Arial" w:cs="Arial" w:eastAsia="Arial" w:hAnsi="Arial"/>
          <w:color w:val="000000"/>
          <w:sz w:val="22"/>
          <w:szCs w:val="22"/>
        </w:rPr>
        <w:t xml:space="preserve">Improves left ventricular function, reduces end-diastolic pressure, and enhances cardiac output in heart failure models.</w:t>
      </w:r>
    </w:p>
    <w:p>
      <w:pPr>
        <w:pStyle w:val="ListParagraph"/>
        <w:numPr>
          <w:ilvl w:val="0"/>
          <w:numId w:val="2"/>
        </w:numPr>
        <w:spacing w:after="80" w:line="300"/>
      </w:pPr>
      <w:r>
        <w:rPr>
          <w:rFonts w:ascii="Arial" w:cs="Arial" w:eastAsia="Arial" w:hAnsi="Arial"/>
          <w:b/>
          <w:bCs/>
          <w:color w:val="CC0000"/>
          <w:sz w:val="22"/>
          <w:szCs w:val="22"/>
        </w:rPr>
        <w:t xml:space="preserve">Ischemia-Reperfusion: </w:t>
      </w:r>
      <w:r>
        <w:rPr>
          <w:rFonts w:ascii="Arial" w:cs="Arial" w:eastAsia="Arial" w:hAnsi="Arial"/>
          <w:color w:val="000000"/>
          <w:sz w:val="22"/>
          <w:szCs w:val="22"/>
        </w:rPr>
        <w:t xml:space="preserve">Dramatically reduces infarct size when administered before or during reperfusion in myocardial infarction models.</w:t>
      </w:r>
    </w:p>
    <w:p>
      <w:pPr>
        <w:pStyle w:val="ListParagraph"/>
        <w:numPr>
          <w:ilvl w:val="0"/>
          <w:numId w:val="2"/>
        </w:numPr>
        <w:spacing w:after="80" w:line="300"/>
      </w:pPr>
      <w:r>
        <w:rPr>
          <w:rFonts w:ascii="Arial" w:cs="Arial" w:eastAsia="Arial" w:hAnsi="Arial"/>
          <w:b/>
          <w:bCs/>
          <w:color w:val="CC0000"/>
          <w:sz w:val="22"/>
          <w:szCs w:val="22"/>
        </w:rPr>
        <w:t xml:space="preserve">Cardiac Remodeling: </w:t>
      </w:r>
      <w:r>
        <w:rPr>
          <w:rFonts w:ascii="Arial" w:cs="Arial" w:eastAsia="Arial" w:hAnsi="Arial"/>
          <w:color w:val="000000"/>
          <w:sz w:val="22"/>
          <w:szCs w:val="22"/>
        </w:rPr>
        <w:t xml:space="preserve">Prevents adverse ventricular remodeling and fibrosis following myocardial injury.</w:t>
      </w:r>
    </w:p>
    <w:p>
      <w:pPr>
        <w:pStyle w:val="ListParagraph"/>
        <w:numPr>
          <w:ilvl w:val="0"/>
          <w:numId w:val="2"/>
        </w:numPr>
        <w:spacing w:after="80" w:line="300"/>
      </w:pPr>
      <w:r>
        <w:rPr>
          <w:rFonts w:ascii="Arial" w:cs="Arial" w:eastAsia="Arial" w:hAnsi="Arial"/>
          <w:b/>
          <w:bCs/>
          <w:color w:val="CC0000"/>
          <w:sz w:val="22"/>
          <w:szCs w:val="22"/>
        </w:rPr>
        <w:t xml:space="preserve">Diastolic Function: </w:t>
      </w:r>
      <w:r>
        <w:rPr>
          <w:rFonts w:ascii="Arial" w:cs="Arial" w:eastAsia="Arial" w:hAnsi="Arial"/>
          <w:color w:val="000000"/>
          <w:sz w:val="22"/>
          <w:szCs w:val="22"/>
        </w:rPr>
        <w:t xml:space="preserve">Improves cardiac relaxation and filling in age-related diastolic dysfunction.</w:t>
      </w:r>
    </w:p>
    <w:p>
      <w:pPr>
        <w:pStyle w:val="Heading2"/>
      </w:pPr>
      <w:r>
        <w:rPr>
          <w:rFonts w:ascii="Arial" w:cs="Arial" w:eastAsia="Arial" w:hAnsi="Arial"/>
          <w:b/>
          <w:bCs/>
          <w:color w:val="CC0000"/>
          <w:sz w:val="28"/>
          <w:szCs w:val="28"/>
        </w:rPr>
        <w:t xml:space="preserve">Barth Syndrome</w:t>
      </w:r>
    </w:p>
    <w:p>
      <w:pPr>
        <w:pStyle w:val="ListParagraph"/>
        <w:numPr>
          <w:ilvl w:val="0"/>
          <w:numId w:val="2"/>
        </w:numPr>
        <w:spacing w:after="80" w:line="300"/>
      </w:pPr>
      <w:r>
        <w:rPr>
          <w:rFonts w:ascii="Arial" w:cs="Arial" w:eastAsia="Arial" w:hAnsi="Arial"/>
          <w:b/>
          <w:bCs/>
          <w:color w:val="CC0000"/>
          <w:sz w:val="22"/>
          <w:szCs w:val="22"/>
        </w:rPr>
        <w:t xml:space="preserve">Cardiolipin Remodeling: </w:t>
      </w:r>
      <w:r>
        <w:rPr>
          <w:rFonts w:ascii="Arial" w:cs="Arial" w:eastAsia="Arial" w:hAnsi="Arial"/>
          <w:color w:val="000000"/>
          <w:sz w:val="22"/>
          <w:szCs w:val="22"/>
        </w:rPr>
        <w:t xml:space="preserve">Directly addresses the underlying pathology of Barth syndrome (tafazzin mutation) by stabilizing existing cardiolipin.</w:t>
      </w:r>
    </w:p>
    <w:p>
      <w:pPr>
        <w:pStyle w:val="ListParagraph"/>
        <w:numPr>
          <w:ilvl w:val="0"/>
          <w:numId w:val="2"/>
        </w:numPr>
        <w:spacing w:after="80" w:line="300"/>
      </w:pPr>
      <w:r>
        <w:rPr>
          <w:rFonts w:ascii="Arial" w:cs="Arial" w:eastAsia="Arial" w:hAnsi="Arial"/>
          <w:b/>
          <w:bCs/>
          <w:color w:val="CC0000"/>
          <w:sz w:val="22"/>
          <w:szCs w:val="22"/>
        </w:rPr>
        <w:t xml:space="preserve">Clinical Trials: </w:t>
      </w:r>
      <w:r>
        <w:rPr>
          <w:rFonts w:ascii="Arial" w:cs="Arial" w:eastAsia="Arial" w:hAnsi="Arial"/>
          <w:color w:val="000000"/>
          <w:sz w:val="22"/>
          <w:szCs w:val="22"/>
        </w:rPr>
        <w:t xml:space="preserve">TAZPOWER trial demonstrated improvements in 6-minute walk test distance and cardiac stroke volume in Barth syndrome patients.</w:t>
      </w:r>
    </w:p>
    <w:p>
      <w:pPr>
        <w:pStyle w:val="ListParagraph"/>
        <w:numPr>
          <w:ilvl w:val="0"/>
          <w:numId w:val="2"/>
        </w:numPr>
        <w:spacing w:after="80" w:line="300"/>
      </w:pPr>
      <w:r>
        <w:rPr>
          <w:rFonts w:ascii="Arial" w:cs="Arial" w:eastAsia="Arial" w:hAnsi="Arial"/>
          <w:b/>
          <w:bCs/>
          <w:color w:val="CC0000"/>
          <w:sz w:val="22"/>
          <w:szCs w:val="22"/>
        </w:rPr>
        <w:t xml:space="preserve">Skeletal Muscle: </w:t>
      </w:r>
      <w:r>
        <w:rPr>
          <w:rFonts w:ascii="Arial" w:cs="Arial" w:eastAsia="Arial" w:hAnsi="Arial"/>
          <w:color w:val="000000"/>
          <w:sz w:val="22"/>
          <w:szCs w:val="22"/>
        </w:rPr>
        <w:t xml:space="preserve">Improves exercise tolerance and reduces fatigue in Barth syndrome subjects.</w:t>
      </w:r>
    </w:p>
    <w:p>
      <w:pPr>
        <w:pStyle w:val="Heading2"/>
      </w:pPr>
      <w:r>
        <w:rPr>
          <w:rFonts w:ascii="Arial" w:cs="Arial" w:eastAsia="Arial" w:hAnsi="Arial"/>
          <w:b/>
          <w:bCs/>
          <w:color w:val="CC0000"/>
          <w:sz w:val="28"/>
          <w:szCs w:val="28"/>
        </w:rPr>
        <w:t xml:space="preserve">Kidney &amp; Renal Protection</w:t>
      </w:r>
    </w:p>
    <w:p>
      <w:pPr>
        <w:pStyle w:val="ListParagraph"/>
        <w:numPr>
          <w:ilvl w:val="0"/>
          <w:numId w:val="2"/>
        </w:numPr>
        <w:spacing w:after="80" w:line="300"/>
      </w:pPr>
      <w:r>
        <w:rPr>
          <w:rFonts w:ascii="Arial" w:cs="Arial" w:eastAsia="Arial" w:hAnsi="Arial"/>
          <w:b/>
          <w:bCs/>
          <w:color w:val="CC0000"/>
          <w:sz w:val="22"/>
          <w:szCs w:val="22"/>
        </w:rPr>
        <w:t xml:space="preserve">Acute Kidney Injury: </w:t>
      </w:r>
      <w:r>
        <w:rPr>
          <w:rFonts w:ascii="Arial" w:cs="Arial" w:eastAsia="Arial" w:hAnsi="Arial"/>
          <w:color w:val="000000"/>
          <w:sz w:val="22"/>
          <w:szCs w:val="22"/>
        </w:rPr>
        <w:t xml:space="preserve">Protects against ischemia-reperfusion induced AKI by preserving mitochondrial structure in proximal tubule cells.</w:t>
      </w:r>
    </w:p>
    <w:p>
      <w:pPr>
        <w:pStyle w:val="ListParagraph"/>
        <w:numPr>
          <w:ilvl w:val="0"/>
          <w:numId w:val="2"/>
        </w:numPr>
        <w:spacing w:after="80" w:line="300"/>
      </w:pPr>
      <w:r>
        <w:rPr>
          <w:rFonts w:ascii="Arial" w:cs="Arial" w:eastAsia="Arial" w:hAnsi="Arial"/>
          <w:b/>
          <w:bCs/>
          <w:color w:val="CC0000"/>
          <w:sz w:val="22"/>
          <w:szCs w:val="22"/>
        </w:rPr>
        <w:t xml:space="preserve">Diabetic Nephropathy: </w:t>
      </w:r>
      <w:r>
        <w:rPr>
          <w:rFonts w:ascii="Arial" w:cs="Arial" w:eastAsia="Arial" w:hAnsi="Arial"/>
          <w:color w:val="000000"/>
          <w:sz w:val="22"/>
          <w:szCs w:val="22"/>
        </w:rPr>
        <w:t xml:space="preserve">Reduces proteinuria, glomerulosclerosis, and tubulointerstitial fibrosis in diabetic kidney disease models.</w:t>
      </w:r>
    </w:p>
    <w:p>
      <w:pPr>
        <w:pStyle w:val="ListParagraph"/>
        <w:numPr>
          <w:ilvl w:val="0"/>
          <w:numId w:val="2"/>
        </w:numPr>
        <w:spacing w:after="80" w:line="300"/>
      </w:pPr>
      <w:r>
        <w:rPr>
          <w:rFonts w:ascii="Arial" w:cs="Arial" w:eastAsia="Arial" w:hAnsi="Arial"/>
          <w:b/>
          <w:bCs/>
          <w:color w:val="CC0000"/>
          <w:sz w:val="22"/>
          <w:szCs w:val="22"/>
        </w:rPr>
        <w:t xml:space="preserve">Renal Aging: </w:t>
      </w:r>
      <w:r>
        <w:rPr>
          <w:rFonts w:ascii="Arial" w:cs="Arial" w:eastAsia="Arial" w:hAnsi="Arial"/>
          <w:color w:val="000000"/>
          <w:sz w:val="22"/>
          <w:szCs w:val="22"/>
        </w:rPr>
        <w:t xml:space="preserve">Reverses age-related decline in glomerular filtration rate and tubular function.</w:t>
      </w:r>
    </w:p>
    <w:p>
      <w:pPr>
        <w:pStyle w:val="Heading2"/>
      </w:pPr>
      <w:r>
        <w:rPr>
          <w:rFonts w:ascii="Arial" w:cs="Arial" w:eastAsia="Arial" w:hAnsi="Arial"/>
          <w:b/>
          <w:bCs/>
          <w:color w:val="CC0000"/>
          <w:sz w:val="28"/>
          <w:szCs w:val="28"/>
        </w:rPr>
        <w:t xml:space="preserve">Neurological &amp; Cognitive Function</w:t>
      </w:r>
    </w:p>
    <w:p>
      <w:pPr>
        <w:pStyle w:val="ListParagraph"/>
        <w:numPr>
          <w:ilvl w:val="0"/>
          <w:numId w:val="2"/>
        </w:numPr>
        <w:spacing w:after="80" w:line="300"/>
      </w:pPr>
      <w:r>
        <w:rPr>
          <w:rFonts w:ascii="Arial" w:cs="Arial" w:eastAsia="Arial" w:hAnsi="Arial"/>
          <w:b/>
          <w:bCs/>
          <w:color w:val="CC0000"/>
          <w:sz w:val="22"/>
          <w:szCs w:val="22"/>
        </w:rPr>
        <w:t xml:space="preserve">Neuroprotection: </w:t>
      </w:r>
      <w:r>
        <w:rPr>
          <w:rFonts w:ascii="Arial" w:cs="Arial" w:eastAsia="Arial" w:hAnsi="Arial"/>
          <w:color w:val="000000"/>
          <w:sz w:val="22"/>
          <w:szCs w:val="22"/>
        </w:rPr>
        <w:t xml:space="preserve">Reduces neuronal death following ischemic stroke, traumatic brain injury, and neurodegenerative insult.</w:t>
      </w:r>
    </w:p>
    <w:p>
      <w:pPr>
        <w:pStyle w:val="ListParagraph"/>
        <w:numPr>
          <w:ilvl w:val="0"/>
          <w:numId w:val="2"/>
        </w:numPr>
        <w:spacing w:after="80" w:line="300"/>
      </w:pPr>
      <w:r>
        <w:rPr>
          <w:rFonts w:ascii="Arial" w:cs="Arial" w:eastAsia="Arial" w:hAnsi="Arial"/>
          <w:b/>
          <w:bCs/>
          <w:color w:val="CC0000"/>
          <w:sz w:val="22"/>
          <w:szCs w:val="22"/>
        </w:rPr>
        <w:t xml:space="preserve">Cognitive Aging: </w:t>
      </w:r>
      <w:r>
        <w:rPr>
          <w:rFonts w:ascii="Arial" w:cs="Arial" w:eastAsia="Arial" w:hAnsi="Arial"/>
          <w:color w:val="000000"/>
          <w:sz w:val="22"/>
          <w:szCs w:val="22"/>
        </w:rPr>
        <w:t xml:space="preserve">Improves synaptic plasticity and spatial memory in aged animal models.</w:t>
      </w:r>
    </w:p>
    <w:p>
      <w:pPr>
        <w:pStyle w:val="ListParagraph"/>
        <w:numPr>
          <w:ilvl w:val="0"/>
          <w:numId w:val="2"/>
        </w:numPr>
        <w:spacing w:after="80" w:line="300"/>
      </w:pPr>
      <w:r>
        <w:rPr>
          <w:rFonts w:ascii="Arial" w:cs="Arial" w:eastAsia="Arial" w:hAnsi="Arial"/>
          <w:b/>
          <w:bCs/>
          <w:color w:val="CC0000"/>
          <w:sz w:val="22"/>
          <w:szCs w:val="22"/>
        </w:rPr>
        <w:t xml:space="preserve">Retinal Protection: </w:t>
      </w:r>
      <w:r>
        <w:rPr>
          <w:rFonts w:ascii="Arial" w:cs="Arial" w:eastAsia="Arial" w:hAnsi="Arial"/>
          <w:color w:val="000000"/>
          <w:sz w:val="22"/>
          <w:szCs w:val="22"/>
        </w:rPr>
        <w:t xml:space="preserve">Preserves retinal ganglion cells and photoreceptor function in models of age-related macular degeneration and glaucoma.</w:t>
      </w:r>
    </w:p>
    <w:p>
      <w:pPr>
        <w:pStyle w:val="Heading2"/>
      </w:pPr>
      <w:r>
        <w:rPr>
          <w:rFonts w:ascii="Arial" w:cs="Arial" w:eastAsia="Arial" w:hAnsi="Arial"/>
          <w:b/>
          <w:bCs/>
          <w:color w:val="CC0000"/>
          <w:sz w:val="28"/>
          <w:szCs w:val="28"/>
        </w:rPr>
        <w:t xml:space="preserve">Aging &amp; Longevity</w:t>
      </w:r>
    </w:p>
    <w:p>
      <w:pPr>
        <w:pStyle w:val="ListParagraph"/>
        <w:numPr>
          <w:ilvl w:val="0"/>
          <w:numId w:val="2"/>
        </w:numPr>
        <w:spacing w:after="80" w:line="300"/>
      </w:pPr>
      <w:r>
        <w:rPr>
          <w:rFonts w:ascii="Arial" w:cs="Arial" w:eastAsia="Arial" w:hAnsi="Arial"/>
          <w:b/>
          <w:bCs/>
          <w:color w:val="CC0000"/>
          <w:sz w:val="22"/>
          <w:szCs w:val="22"/>
        </w:rPr>
        <w:t xml:space="preserve">Cellular Senescence: </w:t>
      </w:r>
      <w:r>
        <w:rPr>
          <w:rFonts w:ascii="Arial" w:cs="Arial" w:eastAsia="Arial" w:hAnsi="Arial"/>
          <w:color w:val="000000"/>
          <w:sz w:val="22"/>
          <w:szCs w:val="22"/>
        </w:rPr>
        <w:t xml:space="preserve">Reduces markers of cellular senescence and the senescence-associated secretory phenotype (SASP).</w:t>
      </w:r>
    </w:p>
    <w:p>
      <w:pPr>
        <w:pStyle w:val="ListParagraph"/>
        <w:numPr>
          <w:ilvl w:val="0"/>
          <w:numId w:val="2"/>
        </w:numPr>
        <w:spacing w:after="80" w:line="300"/>
      </w:pPr>
      <w:r>
        <w:rPr>
          <w:rFonts w:ascii="Arial" w:cs="Arial" w:eastAsia="Arial" w:hAnsi="Arial"/>
          <w:b/>
          <w:bCs/>
          <w:color w:val="CC0000"/>
          <w:sz w:val="22"/>
          <w:szCs w:val="22"/>
        </w:rPr>
        <w:t xml:space="preserve">Skeletal Muscle Aging: </w:t>
      </w:r>
      <w:r>
        <w:rPr>
          <w:rFonts w:ascii="Arial" w:cs="Arial" w:eastAsia="Arial" w:hAnsi="Arial"/>
          <w:color w:val="000000"/>
          <w:sz w:val="22"/>
          <w:szCs w:val="22"/>
        </w:rPr>
        <w:t xml:space="preserve">Restores mitochondrial energetics and reverses age-related decline in skeletal muscle function.</w:t>
      </w:r>
    </w:p>
    <w:p>
      <w:pPr>
        <w:pStyle w:val="ListParagraph"/>
        <w:numPr>
          <w:ilvl w:val="0"/>
          <w:numId w:val="2"/>
        </w:numPr>
        <w:spacing w:after="80" w:line="300"/>
      </w:pPr>
      <w:r>
        <w:rPr>
          <w:rFonts w:ascii="Arial" w:cs="Arial" w:eastAsia="Arial" w:hAnsi="Arial"/>
          <w:b/>
          <w:bCs/>
          <w:color w:val="CC0000"/>
          <w:sz w:val="22"/>
          <w:szCs w:val="22"/>
        </w:rPr>
        <w:t xml:space="preserve">Vascular Function: </w:t>
      </w:r>
      <w:r>
        <w:rPr>
          <w:rFonts w:ascii="Arial" w:cs="Arial" w:eastAsia="Arial" w:hAnsi="Arial"/>
          <w:color w:val="000000"/>
          <w:sz w:val="22"/>
          <w:szCs w:val="22"/>
        </w:rPr>
        <w:t xml:space="preserve">Improves endothelium-dependent vasodilation and reduces arterial stiffness in aged vasculature.</w:t>
      </w:r>
    </w:p>
    <w:p>
      <w:pPr>
        <w:pStyle w:val="Heading2"/>
      </w:pPr>
      <w:r>
        <w:rPr>
          <w:rFonts w:ascii="Arial" w:cs="Arial" w:eastAsia="Arial" w:hAnsi="Arial"/>
          <w:b/>
          <w:bCs/>
          <w:color w:val="CC0000"/>
          <w:sz w:val="28"/>
          <w:szCs w:val="28"/>
        </w:rPr>
        <w:t xml:space="preserve">Metabolic Health</w:t>
      </w:r>
    </w:p>
    <w:p>
      <w:pPr>
        <w:pStyle w:val="ListParagraph"/>
        <w:numPr>
          <w:ilvl w:val="0"/>
          <w:numId w:val="2"/>
        </w:numPr>
        <w:spacing w:after="80" w:line="300"/>
      </w:pPr>
      <w:r>
        <w:rPr>
          <w:rFonts w:ascii="Arial" w:cs="Arial" w:eastAsia="Arial" w:hAnsi="Arial"/>
          <w:b/>
          <w:bCs/>
          <w:color w:val="CC0000"/>
          <w:sz w:val="22"/>
          <w:szCs w:val="22"/>
        </w:rPr>
        <w:t xml:space="preserve">Insulin Sensitivity: </w:t>
      </w:r>
      <w:r>
        <w:rPr>
          <w:rFonts w:ascii="Arial" w:cs="Arial" w:eastAsia="Arial" w:hAnsi="Arial"/>
          <w:color w:val="000000"/>
          <w:sz w:val="22"/>
          <w:szCs w:val="22"/>
        </w:rPr>
        <w:t xml:space="preserve">Improves mitochondrial fatty acid oxidation and enhances insulin signaling in skeletal muscle.</w:t>
      </w:r>
    </w:p>
    <w:p>
      <w:pPr>
        <w:pStyle w:val="ListParagraph"/>
        <w:numPr>
          <w:ilvl w:val="0"/>
          <w:numId w:val="2"/>
        </w:numPr>
        <w:spacing w:after="80" w:line="300"/>
      </w:pPr>
      <w:r>
        <w:rPr>
          <w:rFonts w:ascii="Arial" w:cs="Arial" w:eastAsia="Arial" w:hAnsi="Arial"/>
          <w:b/>
          <w:bCs/>
          <w:color w:val="CC0000"/>
          <w:sz w:val="22"/>
          <w:szCs w:val="22"/>
        </w:rPr>
        <w:t xml:space="preserve">Hepatic Steatosis: </w:t>
      </w:r>
      <w:r>
        <w:rPr>
          <w:rFonts w:ascii="Arial" w:cs="Arial" w:eastAsia="Arial" w:hAnsi="Arial"/>
          <w:color w:val="000000"/>
          <w:sz w:val="22"/>
          <w:szCs w:val="22"/>
        </w:rPr>
        <w:t xml:space="preserve">Reduces lipid accumulation and oxidative damage in non-alcoholic fatty liver disease models.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Low / Introductory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0.5-1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daily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Standard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1-2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daily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Advanced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2-4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daily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Clinical Trial Reference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40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IV Infusion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Single dose (Barth / HF trials)</w:t>
            </w:r>
          </w:p>
        </w:tc>
      </w:tr>
    </w:tbl>
    <w:p>
      <w:pPr>
        <w:spacing w:before="200"/>
      </w:pPr>
    </w:p>
    <w:p>
      <w:pPr>
        <w:pStyle w:val="Heading2"/>
      </w:pPr>
      <w:r>
        <w:rPr>
          <w:rFonts w:ascii="Arial" w:cs="Arial" w:eastAsia="Arial" w:hAnsi="Arial"/>
          <w:b/>
          <w:bCs/>
          <w:color w:val="CC0000"/>
          <w:sz w:val="28"/>
          <w:szCs w:val="28"/>
        </w:rPr>
        <w:t xml:space="preserve">Reconstitution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Sterile bacteriostatic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Reconstitution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1-2 mL BAC water per vial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Mixing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Gently swirl until dissolved, do not shake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21 days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Subcutaneous (abdomen, thigh), rotate sites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Timing</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Consistent daily timing preferred; morning or pre-activity</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SS-31 has demonstrated a favorable safety profile across multiple clinical trials:</w:t>
      </w:r>
    </w:p>
    <w:p>
      <w:pPr>
        <w:pStyle w:val="ListParagraph"/>
        <w:numPr>
          <w:ilvl w:val="0"/>
          <w:numId w:val="2"/>
        </w:numPr>
        <w:spacing w:after="80" w:line="300"/>
      </w:pPr>
      <w:r>
        <w:rPr>
          <w:rFonts w:ascii="Arial" w:cs="Arial" w:eastAsia="Arial" w:hAnsi="Arial"/>
          <w:b/>
          <w:bCs/>
          <w:color w:val="CC0000"/>
          <w:sz w:val="22"/>
          <w:szCs w:val="22"/>
        </w:rPr>
        <w:t xml:space="preserve">General Tolerability: </w:t>
      </w:r>
      <w:r>
        <w:rPr>
          <w:rFonts w:ascii="Arial" w:cs="Arial" w:eastAsia="Arial" w:hAnsi="Arial"/>
          <w:color w:val="000000"/>
          <w:sz w:val="22"/>
          <w:szCs w:val="22"/>
        </w:rPr>
        <w:t xml:space="preserve">Well tolerated in Phase I-III clinical trials at both subcutaneous and intravenous doses with no dose-limiting toxicities reported.</w:t>
      </w:r>
    </w:p>
    <w:p>
      <w:pPr>
        <w:pStyle w:val="ListParagraph"/>
        <w:numPr>
          <w:ilvl w:val="0"/>
          <w:numId w:val="2"/>
        </w:numPr>
        <w:spacing w:after="80" w:line="300"/>
      </w:pPr>
      <w:r>
        <w:rPr>
          <w:rFonts w:ascii="Arial" w:cs="Arial" w:eastAsia="Arial" w:hAnsi="Arial"/>
          <w:b/>
          <w:bCs/>
          <w:color w:val="CC0000"/>
          <w:sz w:val="22"/>
          <w:szCs w:val="22"/>
        </w:rPr>
        <w:t xml:space="preserve">Injection Site: </w:t>
      </w:r>
      <w:r>
        <w:rPr>
          <w:rFonts w:ascii="Arial" w:cs="Arial" w:eastAsia="Arial" w:hAnsi="Arial"/>
          <w:color w:val="000000"/>
          <w:sz w:val="22"/>
          <w:szCs w:val="22"/>
        </w:rPr>
        <w:t xml:space="preserve">Mild, transient injection site reactions (redness, minor discomfort) are the most commonly reported adverse event.</w:t>
      </w:r>
    </w:p>
    <w:p>
      <w:pPr>
        <w:pStyle w:val="ListParagraph"/>
        <w:numPr>
          <w:ilvl w:val="0"/>
          <w:numId w:val="2"/>
        </w:numPr>
        <w:spacing w:after="80" w:line="300"/>
      </w:pPr>
      <w:r>
        <w:rPr>
          <w:rFonts w:ascii="Arial" w:cs="Arial" w:eastAsia="Arial" w:hAnsi="Arial"/>
          <w:b/>
          <w:bCs/>
          <w:color w:val="CC0000"/>
          <w:sz w:val="22"/>
          <w:szCs w:val="22"/>
        </w:rPr>
        <w:t xml:space="preserve">Cardiovascular: </w:t>
      </w:r>
      <w:r>
        <w:rPr>
          <w:rFonts w:ascii="Arial" w:cs="Arial" w:eastAsia="Arial" w:hAnsi="Arial"/>
          <w:color w:val="000000"/>
          <w:sz w:val="22"/>
          <w:szCs w:val="22"/>
        </w:rPr>
        <w:t xml:space="preserve">No clinically significant effects on heart rate, blood pressure, or cardiac rhythm at therapeutic doses.</w:t>
      </w:r>
    </w:p>
    <w:p>
      <w:pPr>
        <w:pStyle w:val="ListParagraph"/>
        <w:numPr>
          <w:ilvl w:val="0"/>
          <w:numId w:val="2"/>
        </w:numPr>
        <w:spacing w:after="80" w:line="300"/>
      </w:pPr>
      <w:r>
        <w:rPr>
          <w:rFonts w:ascii="Arial" w:cs="Arial" w:eastAsia="Arial" w:hAnsi="Arial"/>
          <w:b/>
          <w:bCs/>
          <w:color w:val="CC0000"/>
          <w:sz w:val="22"/>
          <w:szCs w:val="22"/>
        </w:rPr>
        <w:t xml:space="preserve">Renal: </w:t>
      </w:r>
      <w:r>
        <w:rPr>
          <w:rFonts w:ascii="Arial" w:cs="Arial" w:eastAsia="Arial" w:hAnsi="Arial"/>
          <w:color w:val="000000"/>
          <w:sz w:val="22"/>
          <w:szCs w:val="22"/>
        </w:rPr>
        <w:t xml:space="preserve">No nephrotoxicity observed; renal-protective effects demonstrated across multiple studies.</w:t>
      </w:r>
    </w:p>
    <w:p>
      <w:pPr>
        <w:pStyle w:val="ListParagraph"/>
        <w:numPr>
          <w:ilvl w:val="0"/>
          <w:numId w:val="2"/>
        </w:numPr>
        <w:spacing w:after="80" w:line="300"/>
      </w:pPr>
      <w:r>
        <w:rPr>
          <w:rFonts w:ascii="Arial" w:cs="Arial" w:eastAsia="Arial" w:hAnsi="Arial"/>
          <w:b/>
          <w:bCs/>
          <w:color w:val="CC0000"/>
          <w:sz w:val="22"/>
          <w:szCs w:val="22"/>
        </w:rPr>
        <w:t xml:space="preserve">Drug Interactions: </w:t>
      </w:r>
      <w:r>
        <w:rPr>
          <w:rFonts w:ascii="Arial" w:cs="Arial" w:eastAsia="Arial" w:hAnsi="Arial"/>
          <w:color w:val="000000"/>
          <w:sz w:val="22"/>
          <w:szCs w:val="22"/>
        </w:rPr>
        <w:t xml:space="preserve">No significant drug-drug interactions identified in clinical studies to date.</w:t>
      </w:r>
    </w:p>
    <w:p>
      <w:pPr>
        <w:pStyle w:val="ListParagraph"/>
        <w:numPr>
          <w:ilvl w:val="0"/>
          <w:numId w:val="2"/>
        </w:numPr>
        <w:spacing w:after="80" w:line="300"/>
      </w:pPr>
      <w:r>
        <w:rPr>
          <w:rFonts w:ascii="Arial" w:cs="Arial" w:eastAsia="Arial" w:hAnsi="Arial"/>
          <w:b/>
          <w:bCs/>
          <w:color w:val="CC0000"/>
          <w:sz w:val="22"/>
          <w:szCs w:val="22"/>
        </w:rPr>
        <w:t xml:space="preserve">Pregnancy &amp; Nursing: </w:t>
      </w:r>
      <w:r>
        <w:rPr>
          <w:rFonts w:ascii="Arial" w:cs="Arial" w:eastAsia="Arial" w:hAnsi="Arial"/>
          <w:color w:val="000000"/>
          <w:sz w:val="22"/>
          <w:szCs w:val="22"/>
        </w:rPr>
        <w:t xml:space="preserve">Insufficient safety data; use not recommended during pregnancy or lactation.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Szeto HH. First-in-Class Cardiolipin-Protective Compound as a Therapeutic Agent to Restore Mitochondrial Bioenergetics. British Journal of Pharmacology. 2014;171(8):2029-2050.</w:t>
      </w:r>
    </w:p>
    <w:p>
      <w:pPr>
        <w:pStyle w:val="ListParagraph"/>
        <w:numPr>
          <w:ilvl w:val="0"/>
          <w:numId w:val="3"/>
        </w:numPr>
        <w:spacing w:after="80" w:line="300"/>
      </w:pPr>
      <w:r>
        <w:rPr>
          <w:rFonts w:ascii="Arial" w:cs="Arial" w:eastAsia="Arial" w:hAnsi="Arial"/>
          <w:color w:val="000000"/>
          <w:sz w:val="20"/>
          <w:szCs w:val="20"/>
        </w:rPr>
        <w:t xml:space="preserve">Birk AV, et al. The Mitochondrial-Targeted Compound SS-31 Re-Energizes Ischemic Mitochondria by Interacting with Cardiolipin. Journal of the American Society of Nephrology. 2013;24(8):1250-1261.</w:t>
      </w:r>
    </w:p>
    <w:p>
      <w:pPr>
        <w:pStyle w:val="ListParagraph"/>
        <w:numPr>
          <w:ilvl w:val="0"/>
          <w:numId w:val="3"/>
        </w:numPr>
        <w:spacing w:after="80" w:line="300"/>
      </w:pPr>
      <w:r>
        <w:rPr>
          <w:rFonts w:ascii="Arial" w:cs="Arial" w:eastAsia="Arial" w:hAnsi="Arial"/>
          <w:color w:val="000000"/>
          <w:sz w:val="20"/>
          <w:szCs w:val="20"/>
        </w:rPr>
        <w:t xml:space="preserve">Dai DF, et al. Mitochondrial Targeted Antioxidant Peptide Ameliorates Hypertensive Cardiomyopathy. Journal of the American College of Cardiology. 2011;58(1):73-82.</w:t>
      </w:r>
    </w:p>
    <w:p>
      <w:pPr>
        <w:pStyle w:val="ListParagraph"/>
        <w:numPr>
          <w:ilvl w:val="0"/>
          <w:numId w:val="3"/>
        </w:numPr>
        <w:spacing w:after="80" w:line="300"/>
      </w:pPr>
      <w:r>
        <w:rPr>
          <w:rFonts w:ascii="Arial" w:cs="Arial" w:eastAsia="Arial" w:hAnsi="Arial"/>
          <w:color w:val="000000"/>
          <w:sz w:val="20"/>
          <w:szCs w:val="20"/>
        </w:rPr>
        <w:t xml:space="preserve">Reid Thompson W, et al. A Phase 2/3 Randomized Clinical Trial Followed by an Open-Label Extension to Evaluate the Effectiveness of Elamipretide in Barth Syndrome (TAZPOWER). Genetics in Medicine. 2021;23(3):471-478.</w:t>
      </w:r>
    </w:p>
    <w:p>
      <w:pPr>
        <w:pStyle w:val="ListParagraph"/>
        <w:numPr>
          <w:ilvl w:val="0"/>
          <w:numId w:val="3"/>
        </w:numPr>
        <w:spacing w:after="80" w:line="300"/>
      </w:pPr>
      <w:r>
        <w:rPr>
          <w:rFonts w:ascii="Arial" w:cs="Arial" w:eastAsia="Arial" w:hAnsi="Arial"/>
          <w:color w:val="000000"/>
          <w:sz w:val="20"/>
          <w:szCs w:val="20"/>
        </w:rPr>
        <w:t xml:space="preserve">Siegel MP, et al. Mitochondrial-Targeted Peptide Rapidly Improves Mitochondrial Energetics and Skeletal Muscle Performance in Aged Mice. Aging Cell. 2013;12(5):763-771.</w:t>
      </w:r>
    </w:p>
    <w:p>
      <w:pPr>
        <w:pStyle w:val="ListParagraph"/>
        <w:numPr>
          <w:ilvl w:val="0"/>
          <w:numId w:val="3"/>
        </w:numPr>
        <w:spacing w:after="80" w:line="300"/>
      </w:pPr>
      <w:r>
        <w:rPr>
          <w:rFonts w:ascii="Arial" w:cs="Arial" w:eastAsia="Arial" w:hAnsi="Arial"/>
          <w:color w:val="000000"/>
          <w:sz w:val="20"/>
          <w:szCs w:val="20"/>
        </w:rPr>
        <w:t xml:space="preserve">Eirin A, et al. Mitochondrial Targeted Peptides Attenuate Residual Myocardial Damage After Reversal of Experimental Renovascular Hypertension. Journal of Hypertension. 2014;32(1):154-165.</w:t>
      </w:r>
    </w:p>
    <w:p>
      <w:pPr>
        <w:pStyle w:val="ListParagraph"/>
        <w:numPr>
          <w:ilvl w:val="0"/>
          <w:numId w:val="3"/>
        </w:numPr>
        <w:spacing w:after="80" w:line="300"/>
      </w:pPr>
      <w:r>
        <w:rPr>
          <w:rFonts w:ascii="Arial" w:cs="Arial" w:eastAsia="Arial" w:hAnsi="Arial"/>
          <w:color w:val="000000"/>
          <w:sz w:val="20"/>
          <w:szCs w:val="20"/>
        </w:rPr>
        <w:t xml:space="preserve">Campbell MD, et al. Improving Mitochondrial Function with SS-31 Reverses Age-Related Redox Stress and Improves Exercise Tolerance in Aged Mice. Free Radical Biology and Medicine. 2019;134:268-281.</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SS-31 is sold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SS-31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SS-31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2026-03-28T14:22:25.812Z</dcterms:created>
  <dcterms:modified xsi:type="dcterms:W3CDTF">2026-03-28T14:22:25.812Z</dcterms:modified>
</cp:coreProperties>
</file>

<file path=docProps/custom.xml><?xml version="1.0" encoding="utf-8"?>
<Properties xmlns="http://schemas.openxmlformats.org/officeDocument/2006/custom-properties" xmlns:vt="http://schemas.openxmlformats.org/officeDocument/2006/docPropsVTypes"/>
</file>