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val="0"/>
          <w:color w:val="999999"/>
          <w:sz w:val="22"/>
        </w:rPr>
      </w:r>
    </w:p>
    <w:p>
      <w:pPr>
        <w:jc w:val="center"/>
      </w:pPr>
      <w:r>
        <w:rPr>
          <w:rFonts w:ascii="Arial" w:hAnsi="Arial"/>
          <w:b w:val="0"/>
          <w:color w:val="999999"/>
          <w:sz w:val="22"/>
        </w:rPr>
        <w:t>PEPTIDE RESEARCH BRIEF</w:t>
      </w:r>
    </w:p>
    <w:p>
      <w:pPr>
        <w:jc w:val="center"/>
      </w:pPr>
      <w:r>
        <w:rPr>
          <w:rFonts w:ascii="Arial" w:hAnsi="Arial"/>
          <w:b/>
          <w:color w:val="CC0000"/>
          <w:sz w:val="64"/>
        </w:rPr>
        <w:t>MIC + B12</w:t>
      </w:r>
    </w:p>
    <w:p>
      <w:pPr>
        <w:jc w:val="center"/>
      </w:pPr>
      <w:r>
        <w:rPr>
          <w:rFonts w:ascii="Arial" w:hAnsi="Arial"/>
          <w:b w:val="0"/>
          <w:color w:val="555555"/>
          <w:sz w:val="22"/>
        </w:rPr>
        <w:t>Lipotropic Blend | Methionine, Inositol, Choline + Vitamin B12</w:t>
      </w:r>
    </w:p>
    <w:p>
      <w:pPr>
        <w:jc w:val="center"/>
      </w:pPr>
      <w:r>
        <w:rPr>
          <w:rFonts w:ascii="Arial" w:hAnsi="Arial"/>
          <w:b w:val="0"/>
          <w:color w:val="999999"/>
          <w:sz w:val="22"/>
        </w:rPr>
      </w:r>
    </w:p>
    <w:p>
      <w:pPr>
        <w:jc w:val="center"/>
      </w:pPr>
      <w:r>
        <w:rPr>
          <w:rFonts w:ascii="Arial" w:hAnsi="Arial"/>
          <w:b w:val="0"/>
          <w:color w:val="333333"/>
          <w:sz w:val="24"/>
        </w:rPr>
        <w:t>Description, Benefits, Dosage &amp; Research Overview</w:t>
      </w:r>
    </w:p>
    <w:p>
      <w:pPr>
        <w:jc w:val="center"/>
      </w:pPr>
      <w:r>
        <w:rPr>
          <w:rFonts w:ascii="Arial" w:hAnsi="Arial"/>
          <w:b w:val="0"/>
          <w:color w:val="999999"/>
          <w:sz w:val="22"/>
        </w:rPr>
      </w:r>
    </w:p>
    <w:p>
      <w:pPr>
        <w:jc w:val="center"/>
      </w:pPr>
      <w:r>
        <w:rPr>
          <w:rFonts w:ascii="Arial" w:hAnsi="Arial"/>
          <w:b/>
          <w:color w:val="CC0000"/>
          <w:sz w:val="26"/>
        </w:rPr>
        <w:t>Iron Cell Research</w:t>
      </w:r>
    </w:p>
    <w:p>
      <w:pPr>
        <w:jc w:val="center"/>
      </w:pPr>
      <w:r>
        <w:rPr>
          <w:rFonts w:ascii="Arial" w:hAnsi="Arial"/>
          <w:b w:val="0"/>
          <w:color w:val="333333"/>
          <w:sz w:val="22"/>
        </w:rPr>
        <w:t>IronCellResearch.com</w:t>
      </w:r>
    </w:p>
    <w:p>
      <w:pPr>
        <w:jc w:val="center"/>
      </w:pPr>
      <w:r>
        <w:rPr>
          <w:rFonts w:ascii="Arial" w:hAnsi="Arial"/>
          <w:b w:val="0"/>
          <w:color w:val="999999"/>
          <w:sz w:val="22"/>
        </w:rPr>
        <w:t>For Research Use Only</w:t>
      </w:r>
    </w:p>
    <w:p>
      <w:pPr>
        <w:jc w:val="center"/>
      </w:pPr>
      <w:r>
        <w:rPr>
          <w:rFonts w:ascii="Arial" w:hAnsi="Arial"/>
          <w:b w:val="0"/>
          <w:color w:val="999999"/>
          <w:sz w:val="22"/>
        </w:rPr>
      </w:r>
    </w:p>
    <w:p>
      <w:pPr>
        <w:pStyle w:val="Heading1"/>
      </w:pPr>
      <w:r>
        <w:t>Compound Overview</w:t>
      </w:r>
    </w:p>
    <w:p>
      <w:pPr>
        <w:pStyle w:val="Heading1"/>
      </w:pPr>
      <w:r>
        <w:t>Description</w:t>
      </w:r>
    </w:p>
    <w:p>
      <w:r>
        <w:t>MIC + B12 is a lipotropic compound blend that combines three classical lipotropic factors — Methionine, Inositol, and Choline — with Vitamin B12 (typically as cyanocobalamin). Each component plays a defined role in cellular methylation, lipid metabolism, and energy production, and the combination has been used for decades in metabolic, hepatology, and weight-management research.</w:t>
      </w:r>
    </w:p>
    <w:p>
      <w:r>
        <w:t>Methionine is an essential sulfur-containing amino acid and a primary methyl donor through its conversion to S-adenosylmethionine (SAM). Inositol is a sugar-alcohol intermediate of cellular signaling and lipid transport. Choline is an essential nutrient required for phosphatidylcholine synthesis, hepatic fat export, and acetylcholine production. Vitamin B12 is a cofactor in homocysteine remethylation and one-carbon metabolism.</w:t>
      </w:r>
    </w:p>
    <w:p>
      <w:r>
        <w:t>Supplied as a sterile injectable solution for laboratory research applications only. Not for human consumption.</w:t>
      </w:r>
    </w:p>
    <w:p>
      <w:pPr>
        <w:pStyle w:val="Heading1"/>
      </w:pPr>
      <w:r>
        <w:t>Mechanism of Action</w:t>
      </w:r>
    </w:p>
    <w:p>
      <w:pPr>
        <w:pStyle w:val="Heading2"/>
      </w:pPr>
      <w:r>
        <w:t>Hepatic Lipid Export</w:t>
      </w:r>
    </w:p>
    <w:p>
      <w:r>
        <w:t>Choline is required for the synthesis of phosphatidylcholine, a phospholipid essential to packaging triglycerides into very-low-density lipoproteins (VLDL) for export from the liver. Methionine indirectly supports this pathway through SAM-dependent phosphatidylcholine biosynthesis. In choline-deficient research models, hepatic triglyceride accumulation is rapid and is reversed by lipotropic factor supplementation.</w:t>
      </w:r>
    </w:p>
    <w:p>
      <w:pPr>
        <w:pStyle w:val="Heading2"/>
      </w:pPr>
      <w:r>
        <w:t>Methylation &amp; One-Carbon Metabolism</w:t>
      </w:r>
    </w:p>
    <w:p>
      <w:r>
        <w:t>Methionine, B12, and the broader one-carbon cycle support cellular methylation reactions, DNA/RNA biosynthesis, neurotransmitter production, and homocysteine clearance. B12-deficient research models show elevated homocysteine and impaired methyl-group transfer, both of which are restored by adequate B12 and methyl-donor availability.</w:t>
      </w:r>
    </w:p>
    <w:p>
      <w:pPr>
        <w:pStyle w:val="Heading2"/>
      </w:pPr>
      <w:r>
        <w:t>Energy Metabolism &amp; Neurological Function</w:t>
      </w:r>
    </w:p>
    <w:p>
      <w:r>
        <w:t>B12 is essential to mitochondrial fatty acid oxidation through its role as a cofactor for methylmalonyl-CoA mutase, and to myelin maintenance through methylation of myelin basic protein components. Choline contributes to acetylcholine synthesis, supporting cholinergic neurotransmission in research models of cognition and neuromuscular function.</w:t>
      </w:r>
    </w:p>
    <w:p>
      <w:pPr>
        <w:pStyle w:val="Heading2"/>
      </w:pPr>
      <w:r>
        <w:t>Lipid Signaling via Inositol</w:t>
      </w:r>
    </w:p>
    <w:p>
      <w:r>
        <w:t>Inositol and its phosphorylated derivatives serve as second messengers in insulin signaling, calcium-mediated pathways, and lipid raft organization. Research interest centers on inositol's role in adipocyte signaling, ovarian function, and modulation of insulin sensitivity.</w:t>
      </w:r>
    </w:p>
    <w:p>
      <w:pPr>
        <w:pStyle w:val="Heading1"/>
      </w:pPr>
      <w:r>
        <w:t>Research Benefits</w:t>
      </w:r>
    </w:p>
    <w:p>
      <w:pPr>
        <w:pStyle w:val="Heading2"/>
      </w:pPr>
      <w:r>
        <w:t>Metabolic &amp; Body-Composition Research</w:t>
      </w:r>
    </w:p>
    <w:p>
      <w:pPr>
        <w:pStyle w:val="ListParagraph"/>
      </w:pPr>
      <w:r>
        <w:t>Hepatic Fat Mobilization: Studied for reduction of intrahepatic triglyceride accumulation in choline-deficient and high-fat-fed research models.</w:t>
      </w:r>
    </w:p>
    <w:p>
      <w:pPr>
        <w:pStyle w:val="ListParagraph"/>
      </w:pPr>
      <w:r>
        <w:t>Body Composition Markers: Investigated alongside caloric restriction protocols for effects on lean-to-fat ratio and metabolic biomarkers.</w:t>
      </w:r>
    </w:p>
    <w:p>
      <w:pPr>
        <w:pStyle w:val="ListParagraph"/>
      </w:pPr>
      <w:r>
        <w:t>Adipocyte Signaling: Inositol component studied for support of insulin signaling and adipocyte glucose handling.</w:t>
      </w:r>
    </w:p>
    <w:p>
      <w:pPr>
        <w:pStyle w:val="Heading2"/>
      </w:pPr>
      <w:r>
        <w:t>Energy &amp; Performance Research</w:t>
      </w:r>
    </w:p>
    <w:p>
      <w:pPr>
        <w:pStyle w:val="ListParagraph"/>
      </w:pPr>
      <w:r>
        <w:t>Mitochondrial Function: B12 cofactor activity is investigated in fatty acid oxidation and ATP production research.</w:t>
      </w:r>
    </w:p>
    <w:p>
      <w:pPr>
        <w:pStyle w:val="ListParagraph"/>
      </w:pPr>
      <w:r>
        <w:t>Fatigue Markers: Studied in B12-insufficient research populations for support of erythropoiesis and oxygen-carrying capacity.</w:t>
      </w:r>
    </w:p>
    <w:p>
      <w:pPr>
        <w:pStyle w:val="ListParagraph"/>
      </w:pPr>
      <w:r>
        <w:t>Recovery Research: Methionine availability is explored in protein-synthesis and tissue-repair studies.</w:t>
      </w:r>
    </w:p>
    <w:p>
      <w:pPr>
        <w:pStyle w:val="Heading2"/>
      </w:pPr>
      <w:r>
        <w:t>Hepatic &amp; Detoxification Research</w:t>
      </w:r>
    </w:p>
    <w:p>
      <w:pPr>
        <w:pStyle w:val="ListParagraph"/>
      </w:pPr>
      <w:r>
        <w:t>Liver Function Markers: Lipotropic factors investigated for support of hepatic transaminase profiles in metabolic-stress models.</w:t>
      </w:r>
    </w:p>
    <w:p>
      <w:pPr>
        <w:pStyle w:val="ListParagraph"/>
      </w:pPr>
      <w:r>
        <w:t>Bile Synthesis: Choline and methionine contribute to bile composition and biliary lipid handling.</w:t>
      </w:r>
    </w:p>
    <w:p>
      <w:pPr>
        <w:pStyle w:val="ListParagraph"/>
      </w:pPr>
      <w:r>
        <w:t>Glutathione Support: Methionine is a precursor to cysteine, the rate-limiting amino acid for glutathione synthesis.</w:t>
      </w:r>
    </w:p>
    <w:p>
      <w:pPr>
        <w:pStyle w:val="Heading2"/>
      </w:pPr>
      <w:r>
        <w:t>Neurological &amp; Cognitive Research</w:t>
      </w:r>
    </w:p>
    <w:p>
      <w:pPr>
        <w:pStyle w:val="ListParagraph"/>
      </w:pPr>
      <w:r>
        <w:t>Cognitive Function: Choline is studied in acetylcholine-related cognitive performance research, particularly in aging models.</w:t>
      </w:r>
    </w:p>
    <w:p>
      <w:pPr>
        <w:pStyle w:val="ListParagraph"/>
      </w:pPr>
      <w:r>
        <w:t>Mood &amp; Methylation: Methyl-donor and B12 availability is investigated in research on homocysteine and mood-related neurotransmitter synthesis.</w:t>
      </w:r>
    </w:p>
    <w:p>
      <w:pPr>
        <w:pStyle w:val="ListParagraph"/>
      </w:pPr>
      <w:r>
        <w:t>Nerve Health: B12 is studied for support of myelin integrity and peripheral nerve function in research models of B12 insufficiency.</w:t>
      </w:r>
    </w:p>
    <w:p>
      <w:pPr>
        <w:pStyle w:val="Heading1"/>
      </w:pPr>
      <w:r>
        <w:t>Dosage &amp; Administration</w:t>
      </w:r>
    </w:p>
    <w:p>
      <w:r>
        <w:t>The following dosage information is provided for research reference purposes only. MIC + B12 is typically administered by intramuscular or subcutaneous injection in research settings. As a pre-mixed solution, no reconstitution is required.</w:t>
      </w:r>
    </w:p>
    <w:p>
      <w:r>
        <w:t>Standard research administration ranges from 0.5mL to 1.0mL per injection, typically delivered 1–3 times per week depending on the study protocol. Concentration varies by formulation; consult the certificate of analysis for the specific batch concentration of each component.</w:t>
      </w:r>
    </w:p>
    <w:p>
      <w:pPr>
        <w:pStyle w:val="Heading2"/>
      </w:pPr>
      <w:r>
        <w:t>Reconstitution Guidelines</w:t>
      </w:r>
    </w:p>
    <w:p>
      <w:r>
        <w:t>MIC + B12 is supplied as a sterile injectable solution and does not require reconstitution. Store refrigerated at 2–8°C and protect from light. Inspect visually before each draw; the solution should be clear with a characteristic red-pink color (from the B12 component). Discard any vial showing cloudiness, precipitate, or color change.</w:t>
      </w:r>
    </w:p>
    <w:p>
      <w:pPr>
        <w:pStyle w:val="Heading1"/>
      </w:pPr>
      <w:r>
        <w:t>Safety Profile</w:t>
      </w:r>
    </w:p>
    <w:p>
      <w:r>
        <w:t>Lipotropic factor blends have a long history of clinical and research use with a well-characterized safety profile:</w:t>
      </w:r>
    </w:p>
    <w:p>
      <w:pPr>
        <w:pStyle w:val="ListParagraph"/>
      </w:pPr>
      <w:r>
        <w:t>General Tolerability: Well tolerated at standard research doses; mild injection-site reactions are the most common observation.</w:t>
      </w:r>
    </w:p>
    <w:p>
      <w:pPr>
        <w:pStyle w:val="ListParagraph"/>
      </w:pPr>
      <w:r>
        <w:t>B12 Allergy: True B12 (cobalamin) allergy is rare but possible; cyanocobalamin formulations have been reported as occasional sensitizers.</w:t>
      </w:r>
    </w:p>
    <w:p>
      <w:pPr>
        <w:pStyle w:val="ListParagraph"/>
      </w:pPr>
      <w:r>
        <w:t>Methionine Loading: Very high methionine intake can transiently elevate homocysteine in research models; effects are dose-dependent and reversible.</w:t>
      </w:r>
    </w:p>
    <w:p>
      <w:pPr>
        <w:pStyle w:val="ListParagraph"/>
      </w:pPr>
      <w:r>
        <w:t>Renal Considerations: Methionine and inositol clearance involve renal pathways; protocols in renal-impairment research models should be reviewed.</w:t>
      </w:r>
    </w:p>
    <w:p>
      <w:pPr>
        <w:pStyle w:val="ListParagraph"/>
      </w:pPr>
      <w:r>
        <w:t>Hypokalemia Caution: Some B12 protocols can transiently lower serum potassium during rapid erythropoiesis correction.</w:t>
      </w:r>
    </w:p>
    <w:p>
      <w:pPr>
        <w:pStyle w:val="ListParagraph"/>
      </w:pPr>
      <w:r>
        <w:t>Drug Interactions: B12 absorption can be reduced by selected protocols; consult the literature for any concurrent compounds in research designs.</w:t>
      </w:r>
    </w:p>
    <w:p>
      <w:pPr>
        <w:pStyle w:val="ListParagraph"/>
      </w:pPr>
      <w:r>
        <w:t>Pregnancy &amp; Nursing: Component vitamins are physiologic; lipotropic blends are not recommended in pregnancy or lactation research without specific protocol review.</w:t>
      </w:r>
    </w:p>
    <w:p>
      <w:pPr>
        <w:pStyle w:val="Heading1"/>
      </w:pPr>
      <w:r>
        <w:t>Key References</w:t>
      </w:r>
    </w:p>
    <w:p>
      <w:pPr>
        <w:pStyle w:val="ListParagraph"/>
      </w:pPr>
      <w:r>
        <w:t>Zeisel SH, da Costa KA. Choline: An Essential Nutrient for Public Health. Nutrition Reviews. 2009;67(11):615-623.</w:t>
      </w:r>
    </w:p>
    <w:p>
      <w:pPr>
        <w:pStyle w:val="ListParagraph"/>
      </w:pPr>
      <w:r>
        <w:t>Corbin KD, Zeisel SH. Choline Metabolism Provides Novel Insights into Nonalcoholic Fatty Liver Disease. Current Opinion in Gastroenterology. 2012;28(2):159-165.</w:t>
      </w:r>
    </w:p>
    <w:p>
      <w:pPr>
        <w:pStyle w:val="ListParagraph"/>
      </w:pPr>
      <w:r>
        <w:t>Stabler SP. Vitamin B12 Deficiency. New England Journal of Medicine. 2013;368(2):149-160.</w:t>
      </w:r>
    </w:p>
    <w:p>
      <w:pPr>
        <w:pStyle w:val="ListParagraph"/>
      </w:pPr>
      <w:r>
        <w:t>Croze ML, Soulage CO. Potential Role and Therapeutic Interests of Myo-Inositol in Metabolic Diseases. Biochimie. 2013;95(10):1811-1827.</w:t>
      </w:r>
    </w:p>
    <w:p>
      <w:pPr>
        <w:pStyle w:val="ListParagraph"/>
      </w:pPr>
      <w:r>
        <w:t>Mato JM, et al. S-Adenosylmethionine: A Control Switch That Regulates Liver Function. FASEB Journal. 2002;16(1):15-26.</w:t>
      </w:r>
    </w:p>
    <w:p>
      <w:pPr>
        <w:pStyle w:val="ListParagraph"/>
      </w:pPr>
      <w:r>
        <w:t>Selhub J. Homocysteine Metabolism. Annual Review of Nutrition. 1999;19:217-246.</w:t>
      </w:r>
    </w:p>
    <w:p>
      <w:pPr>
        <w:pStyle w:val="ListParagraph"/>
      </w:pPr>
      <w:r>
        <w:t>Wallace TC, et al. Choline: The Underconsumed and Underappreciated Essential Nutrient. Nutrition Today. 2018;53(6):240-253.</w:t>
      </w:r>
    </w:p>
    <w:p>
      <w:pPr>
        <w:pStyle w:val="Heading1"/>
      </w:pPr>
      <w:r>
        <w:t>Contact &amp; Information</w:t>
      </w:r>
    </w:p>
    <w:p>
      <w:r>
        <w:t>Iron Cell Research | IronCellResearch.com — For research inquiries, certificates of analysis, or product information, contact our research support team. All products are sold strictly for laboratory research use only.</w:t>
      </w:r>
    </w:p>
    <w:p>
      <w:pPr>
        <w:pStyle w:val="Heading1"/>
      </w:pPr>
      <w:r>
        <w:t>Disclaimer</w:t>
      </w:r>
    </w:p>
    <w:p>
      <w:r>
        <w:t>This document is intended for informational and research purposes only. MIC + B12 is sold as a research compound and is not intended for human consumption, diagnosis, treatment, or prevention of any disease. The information provided does not constitute medical advice. All research with this compound should be conducted by qualified researchers in appropriate laboratory settings and in compliance with applicable laws and institutional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