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GLOW</w:t>
      </w:r>
    </w:p>
    <w:p>
      <w:pPr>
        <w:pBdr>
          <w:bottom w:val="single" w:color="CC0000" w:sz="6" w:space="8"/>
        </w:pBdr>
        <w:spacing w:after="100"/>
        <w:jc w:val="center"/>
      </w:pPr>
      <w:r>
        <w:rPr>
          <w:rFonts w:ascii="Arial" w:cs="Arial" w:eastAsia="Arial" w:hAnsi="Arial"/>
          <w:color w:val="555555"/>
          <w:sz w:val="22"/>
          <w:szCs w:val="22"/>
        </w:rPr>
        <w:t xml:space="preserve">Tri-Peptide Regenerative Blend | BPC-157 + TB-500 + GHK-Cu (70mg)</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Blend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Blend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GLOW</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Regenerative Tri-Peptide Blend (70mg total)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Components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BPC-157 (Body Protection Compound) + TB-500 (Thymosin Beta-4 Fragment) + GHK-Cu (Copper Tripeptide-1)</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Focus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Tissue repair, regeneration, collagen synthesis, anti-inflammatory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Greater than or equal to 99% HPLC (each component)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Active preclinical research (individual components and blend)</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GLOW combines three of the most-researched regenerative peptides into a single 70 mg blend. BPC-157 (Body Protection Compound, 15 amino acids) is derived from human gastric juice and is studied for tissue-protective and healing properties. TB-500 is the active fragment (amino acids 17-23) of Thymosin Beta-4, involved in cell migration and tissue repair. GHK-Cu (glycyl-L-histidyl-L-lysine bound to Cu²⁺) is a naturally occurring copper-tripeptide that supports collagen production, skin remodeling, and wound healing.</w:t>
      </w:r>
    </w:p>
    <w:p>
      <w:pPr>
        <w:spacing w:after="160" w:line="300"/>
      </w:pPr>
      <w:r>
        <w:rPr>
          <w:rFonts w:ascii="Arial" w:cs="Arial" w:eastAsia="Arial" w:hAnsi="Arial"/>
          <w:color w:val="000000"/>
          <w:sz w:val="22"/>
          <w:szCs w:val="22"/>
        </w:rPr>
        <w:t xml:space="preserve">Together, these three peptides act on complementary mechanisms — angiogenesis, cell migration, collagen synthesis, and anti-inflammatory signaling — providing broader regenerative coverage than any single component alone.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Component 1: BPC-157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Body Protection Compound-157</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Sequence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Gly-Glu-Pro-Pro-Pro-Gly-Lys-Pro-Ala-Asp-Asp-Ala-Gly-Leu-Val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1419.53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137525-51-0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Origin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Derived from human gastric juice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Stability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Stable in gastric juice (unique among peptides)</w:t>
            </w:r>
          </w:p>
        </w:tc>
      </w:tr>
    </w:tbl>
    <w:p>
      <w:pPr>
        <w:pStyle w:val="Heading2"/>
      </w:pPr>
      <w:r>
        <w:rPr>
          <w:rFonts w:ascii="Arial" w:cs="Arial" w:eastAsia="Arial" w:hAnsi="Arial"/>
          <w:b/>
          <w:bCs/>
          <w:color w:val="CC0000"/>
          <w:sz w:val="28"/>
          <w:szCs w:val="28"/>
        </w:rPr>
        <w:t xml:space="preserve">BPC-157 Mechanisms</w:t>
      </w:r>
    </w:p>
    <w:p>
      <w:pPr>
        <w:spacing w:after="160" w:line="300"/>
      </w:pPr>
      <w:r>
        <w:rPr>
          <w:rFonts w:ascii="Arial" w:cs="Arial" w:eastAsia="Arial" w:hAnsi="Arial"/>
          <w:color w:val="000000"/>
          <w:sz w:val="22"/>
          <w:szCs w:val="22"/>
        </w:rPr>
        <w:t xml:space="preserve">BPC-157 promotes angiogenesis through upregulation of VEGF and FGF-2, modulates the nitric oxide (NO) system for vascular and tissue protection, upregulates growth factor receptors including EGF and HGF, and directly stimulates tendon fibroblast outgrowth for tendon and ligament healing.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Component 2: TB-500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Thymosin Beta-4 Fragment (amino acids 17-23)</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Sequence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LKKTETQ</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846.93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Origin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Active fragment of Thymosin Beta-4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2 hours</w:t>
            </w:r>
          </w:p>
        </w:tc>
      </w:tr>
    </w:tbl>
    <w:p>
      <w:pPr>
        <w:pStyle w:val="Heading2"/>
      </w:pPr>
      <w:r>
        <w:rPr>
          <w:rFonts w:ascii="Arial" w:cs="Arial" w:eastAsia="Arial" w:hAnsi="Arial"/>
          <w:b/>
          <w:bCs/>
          <w:color w:val="CC0000"/>
          <w:sz w:val="28"/>
          <w:szCs w:val="28"/>
        </w:rPr>
        <w:t xml:space="preserve">TB-500 Mechanisms</w:t>
      </w:r>
    </w:p>
    <w:p>
      <w:pPr>
        <w:spacing w:after="160" w:line="300"/>
      </w:pPr>
      <w:r>
        <w:rPr>
          <w:rFonts w:ascii="Arial" w:cs="Arial" w:eastAsia="Arial" w:hAnsi="Arial"/>
          <w:color w:val="000000"/>
          <w:sz w:val="22"/>
          <w:szCs w:val="22"/>
        </w:rPr>
        <w:t xml:space="preserve">TB-500 sequesters G-actin monomers to promote cell migration and tissue repair, reduces inflammation through downregulation of pro-inflammatory cytokines, promotes angiogenesis and new blood vessel formation, and activates hair follicle stem cell migration for wound healing.</w:t>
      </w:r>
    </w:p>
    <w:p>
      <w:pPr>
        <w:pStyle w:val="Heading2"/>
      </w:pPr>
      <w:r>
        <w:rPr>
          <w:rFonts w:ascii="Arial" w:cs="Arial" w:eastAsia="Arial" w:hAnsi="Arial"/>
          <w:b/>
          <w:bCs/>
          <w:color w:val="CC0000"/>
          <w:sz w:val="28"/>
          <w:szCs w:val="28"/>
        </w:rPr>
        <w:t xml:space="preserve">Component 3: GHK-Cu</w:t>
      </w:r>
    </w:p>
    <w:p>
      <w:pPr>
        <w:spacing w:after="160" w:line="300"/>
      </w:pPr>
      <w:r>
        <w:rPr>
          <w:rFonts w:ascii="Arial" w:cs="Arial" w:eastAsia="Arial" w:hAnsi="Arial"/>
          <w:b/>
          <w:bCs/>
          <w:color w:val="000000"/>
          <w:sz w:val="22"/>
          <w:szCs w:val="22"/>
        </w:rPr>
        <w:t xml:space="preserve">Full Name: </w:t>
      </w:r>
      <w:r>
        <w:rPr>
          <w:rFonts w:ascii="Arial" w:cs="Arial" w:eastAsia="Arial" w:hAnsi="Arial"/>
          <w:color w:val="000000"/>
          <w:sz w:val="22"/>
          <w:szCs w:val="22"/>
        </w:rPr>
        <w:t xml:space="preserve">Glycyl-L-Histidyl-L-Lysine Copper Complex (Copper Tripeptide-1)</w:t>
      </w:r>
    </w:p>
    <w:p>
      <w:pPr>
        <w:spacing w:after="160" w:line="300"/>
      </w:pPr>
      <w:r>
        <w:rPr>
          <w:rFonts w:ascii="Arial" w:cs="Arial" w:eastAsia="Arial" w:hAnsi="Arial"/>
          <w:b/>
          <w:bCs/>
          <w:color w:val="000000"/>
          <w:sz w:val="22"/>
          <w:szCs w:val="22"/>
        </w:rPr>
        <w:t xml:space="preserve">Sequence: </w:t>
      </w:r>
      <w:r>
        <w:rPr>
          <w:rFonts w:ascii="Arial" w:cs="Arial" w:eastAsia="Arial" w:hAnsi="Arial"/>
          <w:color w:val="000000"/>
          <w:sz w:val="22"/>
          <w:szCs w:val="22"/>
        </w:rPr>
        <w:t xml:space="preserve">Gly-His-Lys (3 amino acids) + Cu²⁺</w:t>
      </w:r>
    </w:p>
    <w:p>
      <w:pPr>
        <w:spacing w:after="160" w:line="300"/>
      </w:pPr>
      <w:r>
        <w:rPr>
          <w:rFonts w:ascii="Arial" w:cs="Arial" w:eastAsia="Arial" w:hAnsi="Arial"/>
          <w:b/>
          <w:bCs/>
          <w:color w:val="000000"/>
          <w:sz w:val="22"/>
          <w:szCs w:val="22"/>
        </w:rPr>
        <w:t xml:space="preserve">Molecular Weight: </w:t>
      </w:r>
      <w:r>
        <w:rPr>
          <w:rFonts w:ascii="Arial" w:cs="Arial" w:eastAsia="Arial" w:hAnsi="Arial"/>
          <w:color w:val="000000"/>
          <w:sz w:val="22"/>
          <w:szCs w:val="22"/>
        </w:rPr>
        <w:t xml:space="preserve">340.84 g/mol (copper-bound complex)</w:t>
      </w:r>
    </w:p>
    <w:p>
      <w:pPr>
        <w:spacing w:after="160" w:line="300"/>
      </w:pPr>
      <w:r>
        <w:rPr>
          <w:rFonts w:ascii="Arial" w:cs="Arial" w:eastAsia="Arial" w:hAnsi="Arial"/>
          <w:b/>
          <w:bCs/>
          <w:color w:val="000000"/>
          <w:sz w:val="22"/>
          <w:szCs w:val="22"/>
        </w:rPr>
        <w:t xml:space="preserve">Origin: </w:t>
      </w:r>
      <w:r>
        <w:rPr>
          <w:rFonts w:ascii="Arial" w:cs="Arial" w:eastAsia="Arial" w:hAnsi="Arial"/>
          <w:color w:val="000000"/>
          <w:sz w:val="22"/>
          <w:szCs w:val="22"/>
        </w:rPr>
        <w:t xml:space="preserve">Naturally occurring copper-binding tripeptide; declines with age in human plasma</w:t>
      </w:r>
    </w:p>
    <w:p>
      <w:pPr>
        <w:pStyle w:val="Heading2"/>
      </w:pPr>
      <w:r>
        <w:rPr>
          <w:rFonts w:ascii="Arial" w:cs="Arial" w:eastAsia="Arial" w:hAnsi="Arial"/>
          <w:b/>
          <w:bCs/>
          <w:color w:val="CC0000"/>
          <w:sz w:val="28"/>
          <w:szCs w:val="28"/>
        </w:rPr>
        <w:t xml:space="preserve">GHK-Cu Mechanisms</w:t>
      </w:r>
    </w:p>
    <w:p>
      <w:pPr>
        <w:spacing w:after="160" w:line="300"/>
      </w:pPr>
      <w:r>
        <w:rPr>
          <w:rFonts w:ascii="Arial" w:cs="Arial" w:eastAsia="Arial" w:hAnsi="Arial"/>
          <w:color w:val="000000"/>
          <w:sz w:val="22"/>
          <w:szCs w:val="22"/>
        </w:rPr>
        <w:t xml:space="preserve">GHK-Cu binds copper ions and modulates over 4,000 genes implicated in tissue remodeling. It stimulates collagen, elastin, and glycosaminoglycan synthesis in dermal fibroblasts, supports keratinocyte proliferation, and exerts antioxidant and anti-inflammatory effects. The copper ion itself is essential to lysyl oxidase activity required for collagen and elastin cross-linking.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Synergistic Research Benefits</w:t>
      </w:r>
    </w:p>
    <w:p>
      <w:pPr>
        <w:pStyle w:val="Heading2"/>
      </w:pPr>
      <w:r>
        <w:rPr>
          <w:rFonts w:ascii="Arial" w:cs="Arial" w:eastAsia="Arial" w:hAnsi="Arial"/>
          <w:b/>
          <w:bCs/>
          <w:color w:val="CC0000"/>
          <w:sz w:val="28"/>
          <w:szCs w:val="28"/>
        </w:rPr>
        <w:t xml:space="preserve">Musculoskeletal Recovery</w:t>
      </w:r>
    </w:p>
    <w:p>
      <w:pPr>
        <w:pStyle w:val="ListParagraph"/>
        <w:numPr>
          <w:ilvl w:val="0"/>
          <w:numId w:val="2"/>
        </w:numPr>
        <w:spacing w:after="80" w:line="300"/>
      </w:pPr>
      <w:r>
        <w:rPr>
          <w:rFonts w:ascii="Arial" w:cs="Arial" w:eastAsia="Arial" w:hAnsi="Arial"/>
          <w:b/>
          <w:bCs/>
          <w:color w:val="CC0000"/>
          <w:sz w:val="22"/>
          <w:szCs w:val="22"/>
        </w:rPr>
        <w:t xml:space="preserve">Tendon, Ligament &amp; Skin: </w:t>
      </w:r>
      <w:r>
        <w:rPr>
          <w:rFonts w:ascii="Arial" w:cs="Arial" w:eastAsia="Arial" w:hAnsi="Arial"/>
          <w:color w:val="000000"/>
          <w:sz w:val="22"/>
          <w:szCs w:val="22"/>
        </w:rPr>
        <w:t xml:space="preserve">BPC-157 stimulates fibroblast outgrowth, TB-500 promotes cell migration to injury sites, and GHK-Cu drives collagen synthesis — together supporting comprehensive connective tissue and skin repair.</w:t>
      </w:r>
    </w:p>
    <w:p>
      <w:pPr>
        <w:pStyle w:val="ListParagraph"/>
        <w:numPr>
          <w:ilvl w:val="0"/>
          <w:numId w:val="2"/>
        </w:numPr>
        <w:spacing w:after="80" w:line="300"/>
      </w:pPr>
      <w:r>
        <w:rPr>
          <w:rFonts w:ascii="Arial" w:cs="Arial" w:eastAsia="Arial" w:hAnsi="Arial"/>
          <w:b/>
          <w:bCs/>
          <w:color w:val="CC0000"/>
          <w:sz w:val="22"/>
          <w:szCs w:val="22"/>
        </w:rPr>
        <w:t xml:space="preserve">Joint Health: </w:t>
      </w:r>
      <w:r>
        <w:rPr>
          <w:rFonts w:ascii="Arial" w:cs="Arial" w:eastAsia="Arial" w:hAnsi="Arial"/>
          <w:color w:val="000000"/>
          <w:sz w:val="22"/>
          <w:szCs w:val="22"/>
        </w:rPr>
        <w:t xml:space="preserve">Combined anti-inflammatory and regenerative effects across all three peptides support cartilage, synovial, and dermal tissue healing.</w:t>
      </w:r>
    </w:p>
    <w:p>
      <w:pPr>
        <w:pStyle w:val="ListParagraph"/>
        <w:numPr>
          <w:ilvl w:val="0"/>
          <w:numId w:val="2"/>
        </w:numPr>
        <w:spacing w:after="80" w:line="300"/>
      </w:pPr>
      <w:r>
        <w:rPr>
          <w:rFonts w:ascii="Arial" w:cs="Arial" w:eastAsia="Arial" w:hAnsi="Arial"/>
          <w:b/>
          <w:bCs/>
          <w:color w:val="CC0000"/>
          <w:sz w:val="22"/>
          <w:szCs w:val="22"/>
        </w:rPr>
        <w:t xml:space="preserve">Bone Healing: </w:t>
      </w:r>
      <w:r>
        <w:rPr>
          <w:rFonts w:ascii="Arial" w:cs="Arial" w:eastAsia="Arial" w:hAnsi="Arial"/>
          <w:color w:val="000000"/>
          <w:sz w:val="22"/>
          <w:szCs w:val="22"/>
        </w:rPr>
        <w:t xml:space="preserve">Complementary angiogenic and growth factor pathways across BPC-157, TB-500, and GHK-Cu may support fracture and bone repair.</w:t>
      </w:r>
    </w:p>
    <w:p>
      <w:pPr>
        <w:pStyle w:val="Heading2"/>
      </w:pPr>
      <w:r>
        <w:rPr>
          <w:rFonts w:ascii="Arial" w:cs="Arial" w:eastAsia="Arial" w:hAnsi="Arial"/>
          <w:b/>
          <w:bCs/>
          <w:color w:val="CC0000"/>
          <w:sz w:val="28"/>
          <w:szCs w:val="28"/>
        </w:rPr>
        <w:t xml:space="preserve">Soft Tissue Repair</w:t>
      </w:r>
    </w:p>
    <w:p>
      <w:pPr>
        <w:pStyle w:val="ListParagraph"/>
        <w:numPr>
          <w:ilvl w:val="0"/>
          <w:numId w:val="2"/>
        </w:numPr>
        <w:spacing w:after="80" w:line="300"/>
      </w:pPr>
      <w:r>
        <w:rPr>
          <w:rFonts w:ascii="Arial" w:cs="Arial" w:eastAsia="Arial" w:hAnsi="Arial"/>
          <w:b/>
          <w:bCs/>
          <w:color w:val="CC0000"/>
          <w:sz w:val="22"/>
          <w:szCs w:val="22"/>
        </w:rPr>
        <w:t xml:space="preserve">Muscle Recovery: </w:t>
      </w:r>
      <w:r>
        <w:rPr>
          <w:rFonts w:ascii="Arial" w:cs="Arial" w:eastAsia="Arial" w:hAnsi="Arial"/>
          <w:color w:val="000000"/>
          <w:sz w:val="22"/>
          <w:szCs w:val="22"/>
        </w:rPr>
        <w:t xml:space="preserve">TB-500 promotes myocyte migration and differentiation, BPC-157 enhances blood vessel formation for nutrient delivery, and GHK-Cu supports extracellular matrix remodeling — together accelerating muscle recovery.</w:t>
      </w:r>
    </w:p>
    <w:p>
      <w:pPr>
        <w:pStyle w:val="ListParagraph"/>
        <w:numPr>
          <w:ilvl w:val="0"/>
          <w:numId w:val="2"/>
        </w:numPr>
        <w:spacing w:after="80" w:line="300"/>
      </w:pPr>
      <w:r>
        <w:rPr>
          <w:rFonts w:ascii="Arial" w:cs="Arial" w:eastAsia="Arial" w:hAnsi="Arial"/>
          <w:b/>
          <w:bCs/>
          <w:color w:val="CC0000"/>
          <w:sz w:val="22"/>
          <w:szCs w:val="22"/>
        </w:rPr>
        <w:t xml:space="preserve">Wound Healing: </w:t>
      </w:r>
      <w:r>
        <w:rPr>
          <w:rFonts w:ascii="Arial" w:cs="Arial" w:eastAsia="Arial" w:hAnsi="Arial"/>
          <w:color w:val="000000"/>
          <w:sz w:val="22"/>
          <w:szCs w:val="22"/>
        </w:rPr>
        <w:t xml:space="preserve">Triple angiogenic and matrix-remodeling pathways accelerate wound closure, scar reduction, and tissue remodeling.</w:t>
      </w:r>
    </w:p>
    <w:p>
      <w:pPr>
        <w:pStyle w:val="Heading2"/>
      </w:pPr>
      <w:r>
        <w:rPr>
          <w:rFonts w:ascii="Arial" w:cs="Arial" w:eastAsia="Arial" w:hAnsi="Arial"/>
          <w:b/>
          <w:bCs/>
          <w:color w:val="CC0000"/>
          <w:sz w:val="28"/>
          <w:szCs w:val="28"/>
        </w:rPr>
        <w:t xml:space="preserve">Skin &amp; Anti-Aging</w:t>
      </w:r>
    </w:p>
    <w:p>
      <w:pPr>
        <w:pStyle w:val="ListParagraph"/>
        <w:numPr>
          <w:ilvl w:val="0"/>
          <w:numId w:val="2"/>
        </w:numPr>
        <w:spacing w:after="80" w:line="300"/>
      </w:pPr>
      <w:r>
        <w:rPr>
          <w:rFonts w:ascii="Arial" w:cs="Arial" w:eastAsia="Arial" w:hAnsi="Arial"/>
          <w:b/>
          <w:bCs/>
          <w:color w:val="CC0000"/>
          <w:sz w:val="22"/>
          <w:szCs w:val="22"/>
        </w:rPr>
        <w:t xml:space="preserve">Collagen &amp; Elastin: </w:t>
      </w:r>
      <w:r>
        <w:rPr>
          <w:rFonts w:ascii="Arial" w:cs="Arial" w:eastAsia="Arial" w:hAnsi="Arial"/>
          <w:color w:val="000000"/>
          <w:sz w:val="22"/>
          <w:szCs w:val="22"/>
        </w:rPr>
        <w:t xml:space="preserve">GHK-Cu directly stimulates collagen and elastin synthesis in dermal fibroblasts, supporting skin firmness, elasticity, and glow.</w:t>
      </w:r>
    </w:p>
    <w:p>
      <w:pPr>
        <w:pStyle w:val="ListParagraph"/>
        <w:numPr>
          <w:ilvl w:val="0"/>
          <w:numId w:val="2"/>
        </w:numPr>
        <w:spacing w:after="80" w:line="300"/>
      </w:pPr>
      <w:r>
        <w:rPr>
          <w:rFonts w:ascii="Arial" w:cs="Arial" w:eastAsia="Arial" w:hAnsi="Arial"/>
          <w:b/>
          <w:bCs/>
          <w:color w:val="CC0000"/>
          <w:sz w:val="22"/>
          <w:szCs w:val="22"/>
        </w:rPr>
        <w:t xml:space="preserve">Skin Barrier: </w:t>
      </w:r>
      <w:r>
        <w:rPr>
          <w:rFonts w:ascii="Arial" w:cs="Arial" w:eastAsia="Arial" w:hAnsi="Arial"/>
          <w:color w:val="000000"/>
          <w:sz w:val="22"/>
          <w:szCs w:val="22"/>
        </w:rPr>
        <w:t xml:space="preserve">Combined effects of BPC-157, TB-500, and GHK-Cu support skin barrier integrity, repair, and overall radiance.</w:t>
      </w:r>
    </w:p>
    <w:p>
      <w:pPr>
        <w:pStyle w:val="Heading2"/>
      </w:pPr>
      <w:r>
        <w:rPr>
          <w:rFonts w:ascii="Arial" w:cs="Arial" w:eastAsia="Arial" w:hAnsi="Arial"/>
          <w:b/>
          <w:bCs/>
          <w:color w:val="CC0000"/>
          <w:sz w:val="28"/>
          <w:szCs w:val="28"/>
        </w:rPr>
        <w:t xml:space="preserve">Cardiovascular Support</w:t>
      </w:r>
    </w:p>
    <w:p>
      <w:pPr>
        <w:pStyle w:val="ListParagraph"/>
        <w:numPr>
          <w:ilvl w:val="0"/>
          <w:numId w:val="2"/>
        </w:numPr>
        <w:spacing w:after="80" w:line="300"/>
      </w:pPr>
      <w:r>
        <w:rPr>
          <w:rFonts w:ascii="Arial" w:cs="Arial" w:eastAsia="Arial" w:hAnsi="Arial"/>
          <w:b/>
          <w:bCs/>
          <w:color w:val="CC0000"/>
          <w:sz w:val="22"/>
          <w:szCs w:val="22"/>
        </w:rPr>
        <w:t xml:space="preserve">Vascular Repair: </w:t>
      </w:r>
      <w:r>
        <w:rPr>
          <w:rFonts w:ascii="Arial" w:cs="Arial" w:eastAsia="Arial" w:hAnsi="Arial"/>
          <w:color w:val="000000"/>
          <w:sz w:val="22"/>
          <w:szCs w:val="22"/>
        </w:rPr>
        <w:t xml:space="preserve">All three peptides influence angiogenesis through distinct pathways, providing broad coverage for blood vessel formation and repair.</w:t>
      </w:r>
    </w:p>
    <w:p>
      <w:pPr>
        <w:pStyle w:val="ListParagraph"/>
        <w:numPr>
          <w:ilvl w:val="0"/>
          <w:numId w:val="2"/>
        </w:numPr>
        <w:spacing w:after="80" w:line="300"/>
      </w:pPr>
      <w:r>
        <w:rPr>
          <w:rFonts w:ascii="Arial" w:cs="Arial" w:eastAsia="Arial" w:hAnsi="Arial"/>
          <w:b/>
          <w:bCs/>
          <w:color w:val="CC0000"/>
          <w:sz w:val="22"/>
          <w:szCs w:val="22"/>
        </w:rPr>
        <w:t xml:space="preserve">Cardioprotection: </w:t>
      </w:r>
      <w:r>
        <w:rPr>
          <w:rFonts w:ascii="Arial" w:cs="Arial" w:eastAsia="Arial" w:hAnsi="Arial"/>
          <w:color w:val="000000"/>
          <w:sz w:val="22"/>
          <w:szCs w:val="22"/>
        </w:rPr>
        <w:t xml:space="preserve">BPC-157 has shown protective effects in cardiac injury models through NO pathway modulation; GHK-Cu has additional cardiovascular research interest related to copper homeostasis.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The GLOW blend is supplied as a single 70 mg vial containing all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GLOW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500-1000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GLOW 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GLOW Loading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2x per week (4-6 weeks)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GLOW Reduced Frequency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BAC Water Ratio</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 mL BAC water per 70mg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Resulting Concentration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2 mL BAC water per 70mg vial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Gently swirl, do not shake. Pre-mixed blend; no separate components.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Subcutaneous, rotate sites; may inject near injury site per protocol</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All three components demonstrate favorable safety profiles in preclinical research:</w:t>
      </w:r>
    </w:p>
    <w:p>
      <w:pPr>
        <w:pStyle w:val="ListParagraph"/>
        <w:numPr>
          <w:ilvl w:val="0"/>
          <w:numId w:val="2"/>
        </w:numPr>
        <w:spacing w:after="80" w:line="300"/>
      </w:pPr>
      <w:r>
        <w:rPr>
          <w:rFonts w:ascii="Arial" w:cs="Arial" w:eastAsia="Arial" w:hAnsi="Arial"/>
          <w:b/>
          <w:bCs/>
          <w:color w:val="CC0000"/>
          <w:sz w:val="22"/>
          <w:szCs w:val="22"/>
        </w:rPr>
        <w:t xml:space="preserve">BPC-157: </w:t>
      </w:r>
      <w:r>
        <w:rPr>
          <w:rFonts w:ascii="Arial" w:cs="Arial" w:eastAsia="Arial" w:hAnsi="Arial"/>
          <w:color w:val="000000"/>
          <w:sz w:val="22"/>
          <w:szCs w:val="22"/>
        </w:rPr>
        <w:t xml:space="preserve">Excellent safety profile in animal studies with no reported toxic dose identified.</w:t>
      </w:r>
    </w:p>
    <w:p>
      <w:pPr>
        <w:pStyle w:val="ListParagraph"/>
        <w:numPr>
          <w:ilvl w:val="0"/>
          <w:numId w:val="2"/>
        </w:numPr>
        <w:spacing w:after="80" w:line="300"/>
      </w:pPr>
      <w:r>
        <w:rPr>
          <w:rFonts w:ascii="Arial" w:cs="Arial" w:eastAsia="Arial" w:hAnsi="Arial"/>
          <w:b/>
          <w:bCs/>
          <w:color w:val="CC0000"/>
          <w:sz w:val="22"/>
          <w:szCs w:val="22"/>
        </w:rPr>
        <w:t xml:space="preserve">TB-500: </w:t>
      </w:r>
      <w:r>
        <w:rPr>
          <w:rFonts w:ascii="Arial" w:cs="Arial" w:eastAsia="Arial" w:hAnsi="Arial"/>
          <w:color w:val="000000"/>
          <w:sz w:val="22"/>
          <w:szCs w:val="22"/>
        </w:rPr>
        <w:t xml:space="preserve">Derived from naturally occurring Thymosin Beta-4; good tolerability with minimal adverse effects in preclinical models.</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transient redness or discomfort possible with subcutaneous injection.</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No significant drug interactions identified for any component in preclinical research; caution with copper-modulating supplements alongside GHK-Cu.</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 during pregnancy or lactation.</w:t>
      </w:r>
    </w:p>
    <w:p>
      <w:pPr>
        <w:spacing w:after="160" w:line="300"/>
      </w:pPr>
      <w:r>
        <w:rPr>
          <w:rFonts w:ascii="Arial" w:cs="Arial" w:eastAsia="Arial" w:hAnsi="Arial"/>
          <w:color w:val="000000"/>
          <w:sz w:val="22"/>
          <w:szCs w:val="22"/>
        </w:rPr>
        <w:t xml:space="preserve">Long-term human safety data remains limited for all three peptides. Research continues to establish comprehensive safety profiles.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Seiwerth S, et al. BPC 157 and Standard Angiogenic Growth Factors: Gastrointestinal Tract Healing, Lessons from Tendon, Ligament, Muscle and Bone Healing. Current Pharmaceutical Design. 2018.</w:t>
      </w:r>
    </w:p>
    <w:p>
      <w:pPr>
        <w:pStyle w:val="ListParagraph"/>
        <w:numPr>
          <w:ilvl w:val="0"/>
          <w:numId w:val="3"/>
        </w:numPr>
        <w:spacing w:after="80" w:line="300"/>
      </w:pPr>
      <w:r>
        <w:rPr>
          <w:rFonts w:ascii="Arial" w:cs="Arial" w:eastAsia="Arial" w:hAnsi="Arial"/>
          <w:color w:val="000000"/>
          <w:sz w:val="20"/>
          <w:szCs w:val="20"/>
        </w:rPr>
        <w:t xml:space="preserve">Chang CH, et al. The Promoting Effect of Pentadecapeptide BPC 157 on Tendon Healing Involves Tendon Outgrowth, Cell Survival, and Cell Migration. Journal of Pharmacological Sciences. 2011.</w:t>
      </w:r>
    </w:p>
    <w:p>
      <w:pPr>
        <w:pStyle w:val="ListParagraph"/>
        <w:numPr>
          <w:ilvl w:val="0"/>
          <w:numId w:val="3"/>
        </w:numPr>
        <w:spacing w:after="80" w:line="300"/>
      </w:pPr>
      <w:r>
        <w:rPr>
          <w:rFonts w:ascii="Arial" w:cs="Arial" w:eastAsia="Arial" w:hAnsi="Arial"/>
          <w:color w:val="000000"/>
          <w:sz w:val="20"/>
          <w:szCs w:val="20"/>
        </w:rPr>
        <w:t xml:space="preserve">Pevec D, et al. Impact of Pentadecapeptide BPC 157 on Muscle Healing Impaired by Systemic Corticosteroid Application. Medical Science Monitor. 2010.</w:t>
      </w:r>
    </w:p>
    <w:p>
      <w:pPr>
        <w:pStyle w:val="ListParagraph"/>
        <w:numPr>
          <w:ilvl w:val="0"/>
          <w:numId w:val="3"/>
        </w:numPr>
        <w:spacing w:after="80" w:line="300"/>
      </w:pPr>
      <w:r>
        <w:rPr>
          <w:rFonts w:ascii="Arial" w:cs="Arial" w:eastAsia="Arial" w:hAnsi="Arial"/>
          <w:color w:val="000000"/>
          <w:sz w:val="20"/>
          <w:szCs w:val="20"/>
        </w:rPr>
        <w:t xml:space="preserve">Pickart L, Margolina A. Regenerative and Protective Actions of the GHK-Cu Peptide in the Light of the New Gene Data. International Journal of Molecular Sciences. 2018;19(7):1987.</w:t>
      </w:r>
    </w:p>
    <w:p>
      <w:pPr>
        <w:pStyle w:val="ListParagraph"/>
        <w:numPr>
          <w:ilvl w:val="0"/>
          <w:numId w:val="3"/>
        </w:numPr>
        <w:spacing w:after="80" w:line="300"/>
      </w:pPr>
      <w:r>
        <w:rPr>
          <w:rFonts w:ascii="Arial" w:cs="Arial" w:eastAsia="Arial" w:hAnsi="Arial"/>
          <w:color w:val="000000"/>
          <w:sz w:val="20"/>
          <w:szCs w:val="20"/>
        </w:rPr>
        <w:t xml:space="preserve">Pickart L. The Human Tripeptide GHK and Tissue Remodeling. Journal of Biomaterials Science Polymer Edition. 2008;19(8):969-988.</w:t>
      </w:r>
    </w:p>
    <w:p>
      <w:pPr>
        <w:pStyle w:val="ListParagraph"/>
        <w:numPr>
          <w:ilvl w:val="0"/>
          <w:numId w:val="3"/>
        </w:numPr>
        <w:spacing w:after="80" w:line="300"/>
      </w:pPr>
      <w:r>
        <w:rPr>
          <w:rFonts w:ascii="Arial" w:cs="Arial" w:eastAsia="Arial" w:hAnsi="Arial"/>
          <w:color w:val="000000"/>
          <w:sz w:val="20"/>
          <w:szCs w:val="20"/>
        </w:rPr>
        <w:t xml:space="preserve">Malinda KM, et al. Thymosin Beta-4 Accelerates Wound Healing. Journal of Investigative Dermatology. 1999.</w:t>
      </w:r>
    </w:p>
    <w:p>
      <w:pPr>
        <w:pStyle w:val="ListParagraph"/>
        <w:numPr>
          <w:ilvl w:val="0"/>
          <w:numId w:val="3"/>
        </w:numPr>
        <w:spacing w:after="80" w:line="300"/>
      </w:pPr>
      <w:r>
        <w:rPr>
          <w:rFonts w:ascii="Arial" w:cs="Arial" w:eastAsia="Arial" w:hAnsi="Arial"/>
          <w:color w:val="000000"/>
          <w:sz w:val="20"/>
          <w:szCs w:val="20"/>
        </w:rPr>
        <w:t xml:space="preserve">Pickart L, et al. GHK Peptide as a Natural Modulator of Multiple Cellular Pathways in Skin Regeneration. BioMed Research International. 2015;2015:648108.</w:t>
      </w:r>
    </w:p>
    <w:p>
      <w:pPr>
        <w:pStyle w:val="ListParagraph"/>
        <w:numPr>
          <w:ilvl w:val="0"/>
          <w:numId w:val="3"/>
        </w:numPr>
        <w:spacing w:after="80" w:line="300"/>
      </w:pPr>
      <w:r>
        <w:rPr>
          <w:rFonts w:ascii="Arial" w:cs="Arial" w:eastAsia="Arial" w:hAnsi="Arial"/>
          <w:color w:val="000000"/>
          <w:sz w:val="20"/>
          <w:szCs w:val="20"/>
        </w:rPr>
        <w:t xml:space="preserve">Smart N, et al. Thymosin Beta-4 Is Essential for Coronary Vessel Development. Annals of the New York Academy of Sciences. 2007.</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GLOW is sold strictly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GLOW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BPC-157 / TB-500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2026-03-28T14:18:09.010Z</dcterms:created>
  <dcterms:modified xsi:type="dcterms:W3CDTF">2026-03-28T14:18:09.010Z</dcterms:modified>
</cp:coreProperties>
</file>

<file path=docProps/custom.xml><?xml version="1.0" encoding="utf-8"?>
<Properties xmlns="http://schemas.openxmlformats.org/officeDocument/2006/custom-properties" xmlns:vt="http://schemas.openxmlformats.org/officeDocument/2006/docPropsVTypes"/>
</file>