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200"/>
        <w:jc w:val="center"/>
      </w:pPr>
      <w:r>
        <w:drawing>
          <wp:inline distT="0" distB="0" distL="0" distR="0">
            <wp:extent cx="2857500" cy="1905000"/>
            <wp:effectExtent t="0" r="0" b="0" l="0"/>
            <wp:docPr id="1" name="logo" descr="Iron Cell Research Logo" title="Iron Cell Re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857500" cy="1905000"/>
                    </a:xfrm>
                    <a:prstGeom prst="rect">
                      <a:avLst/>
                    </a:prstGeom>
                  </pic:spPr>
                </pic:pic>
              </a:graphicData>
            </a:graphic>
          </wp:inline>
        </w:drawing>
      </w:r>
    </w:p>
    <w:p>
      <w:pPr>
        <w:spacing w:after="200"/>
        <w:jc w:val="center"/>
      </w:pPr>
      <w:r>
        <w:rPr>
          <w:rFonts w:ascii="Arial" w:cs="Arial" w:eastAsia="Arial" w:hAnsi="Arial"/>
          <w:color w:val="999999"/>
          <w:spacing w:val="200"/>
          <w:sz w:val="22"/>
          <w:szCs w:val="22"/>
        </w:rPr>
        <w:t xml:space="preserve">PEPTIDE RESEARCH BRIEF</w:t>
      </w:r>
    </w:p>
    <w:p>
      <w:pPr>
        <w:spacing w:after="200"/>
        <w:jc w:val="center"/>
      </w:pPr>
      <w:r>
        <w:rPr>
          <w:rFonts w:ascii="Arial" w:cs="Arial" w:eastAsia="Arial" w:hAnsi="Arial"/>
          <w:b/>
          <w:bCs/>
          <w:color w:val="CC0000"/>
          <w:sz w:val="64"/>
          <w:szCs w:val="64"/>
        </w:rPr>
        <w:t xml:space="preserve">MOTS-c</w:t>
      </w:r>
    </w:p>
    <w:p>
      <w:pPr>
        <w:pBdr>
          <w:bottom w:val="single" w:color="CC0000" w:sz="6" w:space="8"/>
        </w:pBdr>
        <w:spacing w:after="100"/>
        <w:jc w:val="center"/>
      </w:pPr>
      <w:r>
        <w:rPr>
          <w:rFonts w:ascii="Arial" w:cs="Arial" w:eastAsia="Arial" w:hAnsi="Arial"/>
          <w:color w:val="555555"/>
          <w:sz w:val="22"/>
          <w:szCs w:val="22"/>
        </w:rPr>
        <w:t xml:space="preserve">Mitochondrial Open Reading Frame of the 12S rRNA Type-c | Exercise Mimetic Peptide</w:t>
      </w:r>
    </w:p>
    <w:p>
      <w:pPr>
        <w:spacing w:before="400"/>
      </w:pPr>
    </w:p>
    <w:p>
      <w:pPr>
        <w:spacing w:after="80"/>
        <w:jc w:val="center"/>
      </w:pPr>
      <w:r>
        <w:rPr>
          <w:rFonts w:ascii="Arial" w:cs="Arial" w:eastAsia="Arial" w:hAnsi="Arial"/>
          <w:color w:val="333333"/>
          <w:sz w:val="24"/>
          <w:szCs w:val="24"/>
        </w:rPr>
        <w:t xml:space="preserve">Description, Benefits, Dosage &amp; Research Overview</w:t>
      </w:r>
    </w:p>
    <w:p>
      <w:pPr>
        <w:spacing w:before="600"/>
      </w:pPr>
    </w:p>
    <w:p>
      <w:pPr>
        <w:spacing w:after="60"/>
        <w:jc w:val="center"/>
      </w:pPr>
      <w:r>
        <w:rPr>
          <w:rFonts w:ascii="Arial" w:cs="Arial" w:eastAsia="Arial" w:hAnsi="Arial"/>
          <w:b/>
          <w:bCs/>
          <w:color w:val="CC0000"/>
          <w:sz w:val="26"/>
          <w:szCs w:val="26"/>
        </w:rPr>
        <w:t xml:space="preserve">Iron Cell Research</w:t>
      </w:r>
    </w:p>
    <w:p>
      <w:pPr>
        <w:spacing w:after="60"/>
        <w:jc w:val="center"/>
      </w:pPr>
      <w:r>
        <w:rPr>
          <w:rFonts w:ascii="Arial" w:cs="Arial" w:eastAsia="Arial" w:hAnsi="Arial"/>
          <w:color w:val="333333"/>
          <w:sz w:val="22"/>
          <w:szCs w:val="22"/>
        </w:rPr>
        <w:t xml:space="preserve">IronCellResearch.com</w:t>
      </w:r>
    </w:p>
    <w:p>
      <w:pPr>
        <w:jc w:val="center"/>
      </w:pPr>
      <w:r>
        <w:rPr>
          <w:rFonts w:ascii="Arial" w:cs="Arial" w:eastAsia="Arial" w:hAnsi="Arial"/>
          <w:i/>
          <w:iCs/>
          <w:color w:val="999999"/>
          <w:sz w:val="20"/>
          <w:szCs w:val="20"/>
        </w:rPr>
        <w:t xml:space="preserve">For Research Use Only</w:t>
      </w:r>
    </w:p>
    <w:p>
      <w:pPr>
        <w:spacing w:before="400"/>
        <w:jc w:val="center"/>
      </w:pPr>
      <w:r>
        <w:drawing>
          <wp:inline distT="0" distB="0" distL="0" distR="0">
            <wp:extent cx="1333500" cy="885825"/>
            <wp:effectExtent t="0" r="0" b="0" l="0"/>
            <wp:docPr id="1" name="logo" descr="Iron Cell Research Logo" title="Iron Cell Re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333500" cy="885825"/>
                    </a:xfrm>
                    <a:prstGeom prst="rect">
                      <a:avLst/>
                    </a:prstGeom>
                  </pic:spPr>
                </pic:pic>
              </a:graphicData>
            </a:graphic>
          </wp:inline>
        </w:drawing>
      </w:r>
    </w:p>
    <w:p>
      <w:pPr>
        <w:sectPr>
          <w:pgSz w:w="12240" w:h="15840" w:orient="portrait"/>
          <w:pgMar w:top="1440" w:right="1440" w:bottom="1440" w:left="1440" w:header="708" w:footer="708" w:gutter="0"/>
          <w:pgNumType/>
          <w:docGrid w:linePitch="360"/>
        </w:sectPr>
      </w:pPr>
    </w:p>
    <w:p>
      <w:pPr>
        <w:pStyle w:val="Heading1"/>
      </w:pPr>
      <w:r>
        <w:rPr>
          <w:rFonts w:ascii="Arial" w:cs="Arial" w:eastAsia="Arial" w:hAnsi="Arial"/>
          <w:b/>
          <w:bCs/>
          <w:color w:val="CC0000"/>
          <w:sz w:val="36"/>
          <w:szCs w:val="36"/>
        </w:rPr>
        <w:t xml:space="preserve">Compound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CC0000"/>
                <w:sz w:val="22"/>
                <w:szCs w:val="22"/>
              </w:rPr>
              <w:t xml:space="preserve">Compound Name</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2"/>
                <w:szCs w:val="22"/>
              </w:rPr>
              <w:t xml:space="preserve">MOTS-c (Mitochondrial ORF of the 12S rRNA Type-c)</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CC0000"/>
                <w:sz w:val="22"/>
                <w:szCs w:val="22"/>
              </w:rPr>
              <w:t xml:space="preserve">Classification</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000000"/>
                <w:sz w:val="22"/>
                <w:szCs w:val="22"/>
              </w:rPr>
              <w:t xml:space="preserve">Mitochondrial-Derived Peptide (MDP)</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CC0000"/>
                <w:sz w:val="22"/>
                <w:szCs w:val="22"/>
              </w:rPr>
              <w:t xml:space="preserve">Amino Acid Sequence</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2"/>
                <w:szCs w:val="22"/>
              </w:rPr>
              <w:t xml:space="preserve">MRWQEMGYIFYPRKLR (16 amino acids)</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CC0000"/>
                <w:sz w:val="22"/>
                <w:szCs w:val="22"/>
              </w:rPr>
              <w:t xml:space="preserve">Molecular Weight</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000000"/>
                <w:sz w:val="22"/>
                <w:szCs w:val="22"/>
              </w:rPr>
              <w:t xml:space="preserve">2174.7 g/mol</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CC0000"/>
                <w:sz w:val="22"/>
                <w:szCs w:val="22"/>
              </w:rPr>
              <w:t xml:space="preserve">Origin</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2"/>
                <w:szCs w:val="22"/>
              </w:rPr>
              <w:t xml:space="preserve">Encoded by mitochondrial DNA (12S rRNA gene)</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CC0000"/>
                <w:sz w:val="22"/>
                <w:szCs w:val="22"/>
              </w:rPr>
              <w:t xml:space="preserve">Biological Half-Life</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000000"/>
                <w:sz w:val="22"/>
                <w:szCs w:val="22"/>
              </w:rPr>
              <w:t xml:space="preserve">Estimated 4-12 hours</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CC0000"/>
                <w:sz w:val="22"/>
                <w:szCs w:val="22"/>
              </w:rPr>
              <w:t xml:space="preserve">Purity</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2"/>
                <w:szCs w:val="22"/>
              </w:rPr>
              <w:t xml:space="preserve">Greater than or equal to 99%</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CC0000"/>
                <w:sz w:val="22"/>
                <w:szCs w:val="22"/>
              </w:rPr>
              <w:t xml:space="preserve">Storage</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000000"/>
                <w:sz w:val="22"/>
                <w:szCs w:val="22"/>
              </w:rPr>
              <w:t xml:space="preserve">Lyophilized, -20C, protected from light and moisture</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CC0000"/>
                <w:sz w:val="22"/>
                <w:szCs w:val="22"/>
              </w:rPr>
              <w:t xml:space="preserve">Research Status</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2"/>
                <w:szCs w:val="22"/>
              </w:rPr>
              <w:t xml:space="preserve">Active preclinical &amp; early clinical research</w:t>
            </w:r>
          </w:p>
        </w:tc>
      </w:tr>
    </w:tbl>
    <w:p>
      <w:pPr>
        <w:pBdr>
          <w:bottom w:val="single" w:color="CC0000" w:sz="4" w:space="1"/>
        </w:pBdr>
        <w:spacing w:before="200" w:after="200"/>
      </w:pPr>
    </w:p>
    <w:p>
      <w:pPr>
        <w:pStyle w:val="Heading1"/>
      </w:pPr>
      <w:r>
        <w:rPr>
          <w:rFonts w:ascii="Arial" w:cs="Arial" w:eastAsia="Arial" w:hAnsi="Arial"/>
          <w:b/>
          <w:bCs/>
          <w:color w:val="CC0000"/>
          <w:sz w:val="36"/>
          <w:szCs w:val="36"/>
        </w:rPr>
        <w:t xml:space="preserve">Description</w:t>
      </w:r>
    </w:p>
    <w:p>
      <w:pPr>
        <w:spacing w:after="160" w:line="300"/>
      </w:pPr>
      <w:r>
        <w:rPr>
          <w:rFonts w:ascii="Arial" w:cs="Arial" w:eastAsia="Arial" w:hAnsi="Arial"/>
          <w:color w:val="000000"/>
          <w:sz w:val="22"/>
          <w:szCs w:val="22"/>
        </w:rPr>
        <w:t xml:space="preserve">MOTS-c is a mitochondrial-derived peptide first identified by Dr. Changhan David Lee and colleagues at the University of Southern California in 2015. It has been described as an exercise mimetic due to its ability to activate AMPK and reproduce many metabolic benefits of physical exercise.</w:t>
      </w:r>
    </w:p>
    <w:p>
      <w:pPr>
        <w:spacing w:after="160" w:line="300"/>
      </w:pPr>
      <w:r>
        <w:rPr>
          <w:rFonts w:ascii="Arial" w:cs="Arial" w:eastAsia="Arial" w:hAnsi="Arial"/>
          <w:color w:val="000000"/>
          <w:sz w:val="22"/>
          <w:szCs w:val="22"/>
        </w:rPr>
        <w:t xml:space="preserve">MOTS-c translocates to the nucleus in response to metabolic stress, where it regulates adaptive nuclear gene expression through interactions with antioxidant response elements (AREs). Endogenous MOTS-c levels decline with age and are significantly higher in physically active individuals.</w:t>
      </w:r>
    </w:p>
    <w:p>
      <w:pPr>
        <w:pBdr>
          <w:bottom w:val="single" w:color="CC0000" w:sz="4" w:space="1"/>
        </w:pBdr>
        <w:spacing w:before="200" w:after="200"/>
      </w:pPr>
    </w:p>
    <w:p>
      <w:pPr>
        <w:pStyle w:val="Heading1"/>
      </w:pPr>
      <w:r>
        <w:rPr>
          <w:rFonts w:ascii="Arial" w:cs="Arial" w:eastAsia="Arial" w:hAnsi="Arial"/>
          <w:b/>
          <w:bCs/>
          <w:color w:val="CC0000"/>
          <w:sz w:val="36"/>
          <w:szCs w:val="36"/>
        </w:rPr>
        <w:t xml:space="preserve">Mechanism of Action</w:t>
      </w:r>
    </w:p>
    <w:p>
      <w:pPr>
        <w:pStyle w:val="Heading2"/>
      </w:pPr>
      <w:r>
        <w:rPr>
          <w:rFonts w:ascii="Arial" w:cs="Arial" w:eastAsia="Arial" w:hAnsi="Arial"/>
          <w:b/>
          <w:bCs/>
          <w:color w:val="CC0000"/>
          <w:sz w:val="28"/>
          <w:szCs w:val="28"/>
        </w:rPr>
        <w:t xml:space="preserve">AMPK Activation &amp; Metabolic Regulation</w:t>
      </w:r>
    </w:p>
    <w:p>
      <w:pPr>
        <w:spacing w:after="160" w:line="300"/>
      </w:pPr>
      <w:r>
        <w:rPr>
          <w:rFonts w:ascii="Arial" w:cs="Arial" w:eastAsia="Arial" w:hAnsi="Arial"/>
          <w:color w:val="000000"/>
          <w:sz w:val="22"/>
          <w:szCs w:val="22"/>
        </w:rPr>
        <w:t xml:space="preserve">MOTS-c activates AMPK through interference with the folate-methionine cycle, leading to accumulation of AICAR, an endogenous AMPK activator. This triggers enhanced glucose uptake, increased fatty acid oxidation, and inhibition of lipogenesis.</w:t>
      </w:r>
    </w:p>
    <w:p>
      <w:pPr>
        <w:pStyle w:val="Heading2"/>
      </w:pPr>
      <w:r>
        <w:rPr>
          <w:rFonts w:ascii="Arial" w:cs="Arial" w:eastAsia="Arial" w:hAnsi="Arial"/>
          <w:b/>
          <w:bCs/>
          <w:color w:val="CC0000"/>
          <w:sz w:val="28"/>
          <w:szCs w:val="28"/>
        </w:rPr>
        <w:t xml:space="preserve">Nuclear Translocation &amp; Gene Regulation</w:t>
      </w:r>
    </w:p>
    <w:p>
      <w:pPr>
        <w:spacing w:after="160" w:line="300"/>
      </w:pPr>
      <w:r>
        <w:rPr>
          <w:rFonts w:ascii="Arial" w:cs="Arial" w:eastAsia="Arial" w:hAnsi="Arial"/>
          <w:color w:val="000000"/>
          <w:sz w:val="22"/>
          <w:szCs w:val="22"/>
        </w:rPr>
        <w:t xml:space="preserve">Under metabolic stress, MOTS-c translocates from mitochondria to the nucleus where it interacts with antioxidant response elements to regulate genes involved in cellular stress adaptation, glutathione metabolism, and mitochondrial homeostasis. This represents novel retrograde signaling.</w:t>
      </w:r>
    </w:p>
    <w:p>
      <w:pPr>
        <w:pStyle w:val="Heading2"/>
      </w:pPr>
      <w:r>
        <w:rPr>
          <w:rFonts w:ascii="Arial" w:cs="Arial" w:eastAsia="Arial" w:hAnsi="Arial"/>
          <w:b/>
          <w:bCs/>
          <w:color w:val="CC0000"/>
          <w:sz w:val="28"/>
          <w:szCs w:val="28"/>
        </w:rPr>
        <w:t xml:space="preserve">Folate-Methionine Cycle Modulation</w:t>
      </w:r>
    </w:p>
    <w:p>
      <w:pPr>
        <w:spacing w:after="160" w:line="300"/>
      </w:pPr>
      <w:r>
        <w:rPr>
          <w:rFonts w:ascii="Arial" w:cs="Arial" w:eastAsia="Arial" w:hAnsi="Arial"/>
          <w:color w:val="000000"/>
          <w:sz w:val="22"/>
          <w:szCs w:val="22"/>
        </w:rPr>
        <w:t xml:space="preserve">MOTS-c modulates de novo purine biosynthesis by inhibiting the folate-methionine pathway, influencing one-carbon metabolism, methylation reactions, and nucleotide synthesis.</w:t>
      </w:r>
    </w:p>
    <w:p>
      <w:pPr>
        <w:pStyle w:val="Heading2"/>
      </w:pPr>
      <w:r>
        <w:rPr>
          <w:rFonts w:ascii="Arial" w:cs="Arial" w:eastAsia="Arial" w:hAnsi="Arial"/>
          <w:b/>
          <w:bCs/>
          <w:color w:val="CC0000"/>
          <w:sz w:val="28"/>
          <w:szCs w:val="28"/>
        </w:rPr>
        <w:t xml:space="preserve">Insulin Sensitization &amp; Glucose Homeostasis</w:t>
      </w:r>
    </w:p>
    <w:p>
      <w:pPr>
        <w:spacing w:after="160" w:line="300"/>
      </w:pPr>
      <w:r>
        <w:rPr>
          <w:rFonts w:ascii="Arial" w:cs="Arial" w:eastAsia="Arial" w:hAnsi="Arial"/>
          <w:color w:val="000000"/>
          <w:sz w:val="22"/>
          <w:szCs w:val="22"/>
        </w:rPr>
        <w:t xml:space="preserve">MOTS-c enhances glucose uptake in skeletal muscle through AMPK-dependent GLUT4 translocation and improved insulin signaling. It reduces hepatic glucose output and improves whole-body glucose disposal independent of body weight changes.</w:t>
      </w:r>
    </w:p>
    <w:p>
      <w:pPr>
        <w:pBdr>
          <w:bottom w:val="single" w:color="CC0000" w:sz="4" w:space="1"/>
        </w:pBdr>
        <w:spacing w:before="200" w:after="200"/>
      </w:pPr>
    </w:p>
    <w:p>
      <w:pPr>
        <w:pStyle w:val="Heading1"/>
      </w:pPr>
      <w:r>
        <w:rPr>
          <w:rFonts w:ascii="Arial" w:cs="Arial" w:eastAsia="Arial" w:hAnsi="Arial"/>
          <w:b/>
          <w:bCs/>
          <w:color w:val="CC0000"/>
          <w:sz w:val="36"/>
          <w:szCs w:val="36"/>
        </w:rPr>
        <w:t xml:space="preserve">Research Benefits</w:t>
      </w:r>
    </w:p>
    <w:p>
      <w:pPr>
        <w:pStyle w:val="Heading2"/>
      </w:pPr>
      <w:r>
        <w:rPr>
          <w:rFonts w:ascii="Arial" w:cs="Arial" w:eastAsia="Arial" w:hAnsi="Arial"/>
          <w:b/>
          <w:bCs/>
          <w:color w:val="CC0000"/>
          <w:sz w:val="28"/>
          <w:szCs w:val="28"/>
        </w:rPr>
        <w:t xml:space="preserve">Metabolic Health &amp; Obesity</w:t>
      </w:r>
    </w:p>
    <w:p>
      <w:pPr>
        <w:pStyle w:val="ListParagraph"/>
        <w:numPr>
          <w:ilvl w:val="0"/>
          <w:numId w:val="2"/>
        </w:numPr>
        <w:spacing w:after="80" w:line="300"/>
      </w:pPr>
      <w:r>
        <w:rPr>
          <w:rFonts w:ascii="Arial" w:cs="Arial" w:eastAsia="Arial" w:hAnsi="Arial"/>
          <w:b/>
          <w:bCs/>
          <w:color w:val="CC0000"/>
          <w:sz w:val="22"/>
          <w:szCs w:val="22"/>
        </w:rPr>
        <w:t xml:space="preserve">Weight Management: </w:t>
      </w:r>
      <w:r>
        <w:rPr>
          <w:rFonts w:ascii="Arial" w:cs="Arial" w:eastAsia="Arial" w:hAnsi="Arial"/>
          <w:color w:val="000000"/>
          <w:sz w:val="22"/>
          <w:szCs w:val="22"/>
        </w:rPr>
        <w:t xml:space="preserve">Prevents diet-induced obesity in mouse models without changes in food intake.</w:t>
      </w:r>
    </w:p>
    <w:p>
      <w:pPr>
        <w:pStyle w:val="ListParagraph"/>
        <w:numPr>
          <w:ilvl w:val="0"/>
          <w:numId w:val="2"/>
        </w:numPr>
        <w:spacing w:after="80" w:line="300"/>
      </w:pPr>
      <w:r>
        <w:rPr>
          <w:rFonts w:ascii="Arial" w:cs="Arial" w:eastAsia="Arial" w:hAnsi="Arial"/>
          <w:b/>
          <w:bCs/>
          <w:color w:val="CC0000"/>
          <w:sz w:val="22"/>
          <w:szCs w:val="22"/>
        </w:rPr>
        <w:t xml:space="preserve">Fat Oxidation: </w:t>
      </w:r>
      <w:r>
        <w:rPr>
          <w:rFonts w:ascii="Arial" w:cs="Arial" w:eastAsia="Arial" w:hAnsi="Arial"/>
          <w:color w:val="000000"/>
          <w:sz w:val="22"/>
          <w:szCs w:val="22"/>
        </w:rPr>
        <w:t xml:space="preserve">AMPK activation promotes fatty acid beta-oxidation in muscle and liver.</w:t>
      </w:r>
    </w:p>
    <w:p>
      <w:pPr>
        <w:pStyle w:val="ListParagraph"/>
        <w:numPr>
          <w:ilvl w:val="0"/>
          <w:numId w:val="2"/>
        </w:numPr>
        <w:spacing w:after="80" w:line="300"/>
      </w:pPr>
      <w:r>
        <w:rPr>
          <w:rFonts w:ascii="Arial" w:cs="Arial" w:eastAsia="Arial" w:hAnsi="Arial"/>
          <w:b/>
          <w:bCs/>
          <w:color w:val="CC0000"/>
          <w:sz w:val="22"/>
          <w:szCs w:val="22"/>
        </w:rPr>
        <w:t xml:space="preserve">Metabolic Syndrome: </w:t>
      </w:r>
      <w:r>
        <w:rPr>
          <w:rFonts w:ascii="Arial" w:cs="Arial" w:eastAsia="Arial" w:hAnsi="Arial"/>
          <w:color w:val="000000"/>
          <w:sz w:val="22"/>
          <w:szCs w:val="22"/>
        </w:rPr>
        <w:t xml:space="preserve">Improves hyperglycemia, insulin resistance, dyslipidemia, and visceral adiposity.</w:t>
      </w:r>
    </w:p>
    <w:p>
      <w:pPr>
        <w:pStyle w:val="Heading2"/>
      </w:pPr>
      <w:r>
        <w:rPr>
          <w:rFonts w:ascii="Arial" w:cs="Arial" w:eastAsia="Arial" w:hAnsi="Arial"/>
          <w:b/>
          <w:bCs/>
          <w:color w:val="CC0000"/>
          <w:sz w:val="28"/>
          <w:szCs w:val="28"/>
        </w:rPr>
        <w:t xml:space="preserve">Exercise Performance</w:t>
      </w:r>
    </w:p>
    <w:p>
      <w:pPr>
        <w:pStyle w:val="ListParagraph"/>
        <w:numPr>
          <w:ilvl w:val="0"/>
          <w:numId w:val="2"/>
        </w:numPr>
        <w:spacing w:after="80" w:line="300"/>
      </w:pPr>
      <w:r>
        <w:rPr>
          <w:rFonts w:ascii="Arial" w:cs="Arial" w:eastAsia="Arial" w:hAnsi="Arial"/>
          <w:b/>
          <w:bCs/>
          <w:color w:val="CC0000"/>
          <w:sz w:val="22"/>
          <w:szCs w:val="22"/>
        </w:rPr>
        <w:t xml:space="preserve">Exercise Mimetic: </w:t>
      </w:r>
      <w:r>
        <w:rPr>
          <w:rFonts w:ascii="Arial" w:cs="Arial" w:eastAsia="Arial" w:hAnsi="Arial"/>
          <w:color w:val="000000"/>
          <w:sz w:val="22"/>
          <w:szCs w:val="22"/>
        </w:rPr>
        <w:t xml:space="preserve">Reproduces metabolic adaptations of exercise including enhanced glucose utilization and mitochondrial biogenesis.</w:t>
      </w:r>
    </w:p>
    <w:p>
      <w:pPr>
        <w:pStyle w:val="ListParagraph"/>
        <w:numPr>
          <w:ilvl w:val="0"/>
          <w:numId w:val="2"/>
        </w:numPr>
        <w:spacing w:after="80" w:line="300"/>
      </w:pPr>
      <w:r>
        <w:rPr>
          <w:rFonts w:ascii="Arial" w:cs="Arial" w:eastAsia="Arial" w:hAnsi="Arial"/>
          <w:b/>
          <w:bCs/>
          <w:color w:val="CC0000"/>
          <w:sz w:val="22"/>
          <w:szCs w:val="22"/>
        </w:rPr>
        <w:t xml:space="preserve">Endurance: </w:t>
      </w:r>
      <w:r>
        <w:rPr>
          <w:rFonts w:ascii="Arial" w:cs="Arial" w:eastAsia="Arial" w:hAnsi="Arial"/>
          <w:color w:val="000000"/>
          <w:sz w:val="22"/>
          <w:szCs w:val="22"/>
        </w:rPr>
        <w:t xml:space="preserve">Significantly improves running endurance in aged mouse models.</w:t>
      </w:r>
    </w:p>
    <w:p>
      <w:pPr>
        <w:pStyle w:val="ListParagraph"/>
        <w:numPr>
          <w:ilvl w:val="0"/>
          <w:numId w:val="2"/>
        </w:numPr>
        <w:spacing w:after="80" w:line="300"/>
      </w:pPr>
      <w:r>
        <w:rPr>
          <w:rFonts w:ascii="Arial" w:cs="Arial" w:eastAsia="Arial" w:hAnsi="Arial"/>
          <w:b/>
          <w:bCs/>
          <w:color w:val="CC0000"/>
          <w:sz w:val="22"/>
          <w:szCs w:val="22"/>
        </w:rPr>
        <w:t xml:space="preserve">Skeletal Muscle: </w:t>
      </w:r>
      <w:r>
        <w:rPr>
          <w:rFonts w:ascii="Arial" w:cs="Arial" w:eastAsia="Arial" w:hAnsi="Arial"/>
          <w:color w:val="000000"/>
          <w:sz w:val="22"/>
          <w:szCs w:val="22"/>
        </w:rPr>
        <w:t xml:space="preserve">Preserves muscle mass and function, counteracting sarcopenia.</w:t>
      </w:r>
    </w:p>
    <w:p>
      <w:pPr>
        <w:pStyle w:val="Heading2"/>
      </w:pPr>
      <w:r>
        <w:rPr>
          <w:rFonts w:ascii="Arial" w:cs="Arial" w:eastAsia="Arial" w:hAnsi="Arial"/>
          <w:b/>
          <w:bCs/>
          <w:color w:val="CC0000"/>
          <w:sz w:val="28"/>
          <w:szCs w:val="28"/>
        </w:rPr>
        <w:t xml:space="preserve">Anti-Aging &amp; Longevity</w:t>
      </w:r>
    </w:p>
    <w:p>
      <w:pPr>
        <w:pStyle w:val="ListParagraph"/>
        <w:numPr>
          <w:ilvl w:val="0"/>
          <w:numId w:val="2"/>
        </w:numPr>
        <w:spacing w:after="80" w:line="300"/>
      </w:pPr>
      <w:r>
        <w:rPr>
          <w:rFonts w:ascii="Arial" w:cs="Arial" w:eastAsia="Arial" w:hAnsi="Arial"/>
          <w:b/>
          <w:bCs/>
          <w:color w:val="CC0000"/>
          <w:sz w:val="22"/>
          <w:szCs w:val="22"/>
        </w:rPr>
        <w:t xml:space="preserve">Healthspan Extension: </w:t>
      </w:r>
      <w:r>
        <w:rPr>
          <w:rFonts w:ascii="Arial" w:cs="Arial" w:eastAsia="Arial" w:hAnsi="Arial"/>
          <w:color w:val="000000"/>
          <w:sz w:val="22"/>
          <w:szCs w:val="22"/>
        </w:rPr>
        <w:t xml:space="preserve">Late-life treatment improves physical function and metabolic health.</w:t>
      </w:r>
    </w:p>
    <w:p>
      <w:pPr>
        <w:pStyle w:val="ListParagraph"/>
        <w:numPr>
          <w:ilvl w:val="0"/>
          <w:numId w:val="2"/>
        </w:numPr>
        <w:spacing w:after="80" w:line="300"/>
      </w:pPr>
      <w:r>
        <w:rPr>
          <w:rFonts w:ascii="Arial" w:cs="Arial" w:eastAsia="Arial" w:hAnsi="Arial"/>
          <w:b/>
          <w:bCs/>
          <w:color w:val="CC0000"/>
          <w:sz w:val="22"/>
          <w:szCs w:val="22"/>
        </w:rPr>
        <w:t xml:space="preserve">Stress Resistance: </w:t>
      </w:r>
      <w:r>
        <w:rPr>
          <w:rFonts w:ascii="Arial" w:cs="Arial" w:eastAsia="Arial" w:hAnsi="Arial"/>
          <w:color w:val="000000"/>
          <w:sz w:val="22"/>
          <w:szCs w:val="22"/>
        </w:rPr>
        <w:t xml:space="preserve">Enhances cellular resilience through ARE-mediated gene regulation.</w:t>
      </w:r>
    </w:p>
    <w:p>
      <w:pPr>
        <w:pStyle w:val="ListParagraph"/>
        <w:numPr>
          <w:ilvl w:val="0"/>
          <w:numId w:val="2"/>
        </w:numPr>
        <w:spacing w:after="80" w:line="300"/>
      </w:pPr>
      <w:r>
        <w:rPr>
          <w:rFonts w:ascii="Arial" w:cs="Arial" w:eastAsia="Arial" w:hAnsi="Arial"/>
          <w:b/>
          <w:bCs/>
          <w:color w:val="CC0000"/>
          <w:sz w:val="22"/>
          <w:szCs w:val="22"/>
        </w:rPr>
        <w:t xml:space="preserve">Mitochondrial Quality: </w:t>
      </w:r>
      <w:r>
        <w:rPr>
          <w:rFonts w:ascii="Arial" w:cs="Arial" w:eastAsia="Arial" w:hAnsi="Arial"/>
          <w:color w:val="000000"/>
          <w:sz w:val="22"/>
          <w:szCs w:val="22"/>
        </w:rPr>
        <w:t xml:space="preserve">Promotes mitophagy and biogenesis for healthy mitochondrial populations.</w:t>
      </w:r>
    </w:p>
    <w:p>
      <w:pPr>
        <w:pStyle w:val="Heading2"/>
      </w:pPr>
      <w:r>
        <w:rPr>
          <w:rFonts w:ascii="Arial" w:cs="Arial" w:eastAsia="Arial" w:hAnsi="Arial"/>
          <w:b/>
          <w:bCs/>
          <w:color w:val="CC0000"/>
          <w:sz w:val="28"/>
          <w:szCs w:val="28"/>
        </w:rPr>
        <w:t xml:space="preserve">Bone &amp; Skeletal Health</w:t>
      </w:r>
    </w:p>
    <w:p>
      <w:pPr>
        <w:pStyle w:val="ListParagraph"/>
        <w:numPr>
          <w:ilvl w:val="0"/>
          <w:numId w:val="2"/>
        </w:numPr>
        <w:spacing w:after="80" w:line="300"/>
      </w:pPr>
      <w:r>
        <w:rPr>
          <w:rFonts w:ascii="Arial" w:cs="Arial" w:eastAsia="Arial" w:hAnsi="Arial"/>
          <w:b/>
          <w:bCs/>
          <w:color w:val="CC0000"/>
          <w:sz w:val="22"/>
          <w:szCs w:val="22"/>
        </w:rPr>
        <w:t xml:space="preserve">Osteoporosis Prevention: </w:t>
      </w:r>
      <w:r>
        <w:rPr>
          <w:rFonts w:ascii="Arial" w:cs="Arial" w:eastAsia="Arial" w:hAnsi="Arial"/>
          <w:color w:val="000000"/>
          <w:sz w:val="22"/>
          <w:szCs w:val="22"/>
        </w:rPr>
        <w:t xml:space="preserve">Protective effects against bone loss in ovariectomized mouse models.</w:t>
      </w:r>
    </w:p>
    <w:p>
      <w:pPr>
        <w:pStyle w:val="ListParagraph"/>
        <w:numPr>
          <w:ilvl w:val="0"/>
          <w:numId w:val="2"/>
        </w:numPr>
        <w:spacing w:after="80" w:line="300"/>
      </w:pPr>
      <w:r>
        <w:rPr>
          <w:rFonts w:ascii="Arial" w:cs="Arial" w:eastAsia="Arial" w:hAnsi="Arial"/>
          <w:b/>
          <w:bCs/>
          <w:color w:val="CC0000"/>
          <w:sz w:val="22"/>
          <w:szCs w:val="22"/>
        </w:rPr>
        <w:t xml:space="preserve">Bone Formation: </w:t>
      </w:r>
      <w:r>
        <w:rPr>
          <w:rFonts w:ascii="Arial" w:cs="Arial" w:eastAsia="Arial" w:hAnsi="Arial"/>
          <w:color w:val="000000"/>
          <w:sz w:val="22"/>
          <w:szCs w:val="22"/>
        </w:rPr>
        <w:t xml:space="preserve">Promotes osteoblast differentiation through AMPK-dependent pathways.</w:t>
      </w:r>
    </w:p>
    <w:p>
      <w:pPr>
        <w:pStyle w:val="Heading2"/>
      </w:pPr>
      <w:r>
        <w:rPr>
          <w:rFonts w:ascii="Arial" w:cs="Arial" w:eastAsia="Arial" w:hAnsi="Arial"/>
          <w:b/>
          <w:bCs/>
          <w:color w:val="CC0000"/>
          <w:sz w:val="28"/>
          <w:szCs w:val="28"/>
        </w:rPr>
        <w:t xml:space="preserve">Inflammatory &amp; Immune Regulation</w:t>
      </w:r>
    </w:p>
    <w:p>
      <w:pPr>
        <w:pStyle w:val="ListParagraph"/>
        <w:numPr>
          <w:ilvl w:val="0"/>
          <w:numId w:val="2"/>
        </w:numPr>
        <w:spacing w:after="80" w:line="300"/>
      </w:pPr>
      <w:r>
        <w:rPr>
          <w:rFonts w:ascii="Arial" w:cs="Arial" w:eastAsia="Arial" w:hAnsi="Arial"/>
          <w:b/>
          <w:bCs/>
          <w:color w:val="CC0000"/>
          <w:sz w:val="22"/>
          <w:szCs w:val="22"/>
        </w:rPr>
        <w:t xml:space="preserve">Anti-Inflammatory: </w:t>
      </w:r>
      <w:r>
        <w:rPr>
          <w:rFonts w:ascii="Arial" w:cs="Arial" w:eastAsia="Arial" w:hAnsi="Arial"/>
          <w:color w:val="000000"/>
          <w:sz w:val="22"/>
          <w:szCs w:val="22"/>
        </w:rPr>
        <w:t xml:space="preserve">Reduces TNF-alpha, IL-6, and IL-1beta in metabolic inflammation models.</w:t>
      </w:r>
    </w:p>
    <w:p>
      <w:pPr>
        <w:pStyle w:val="ListParagraph"/>
        <w:numPr>
          <w:ilvl w:val="0"/>
          <w:numId w:val="2"/>
        </w:numPr>
        <w:spacing w:after="80" w:line="300"/>
      </w:pPr>
      <w:r>
        <w:rPr>
          <w:rFonts w:ascii="Arial" w:cs="Arial" w:eastAsia="Arial" w:hAnsi="Arial"/>
          <w:b/>
          <w:bCs/>
          <w:color w:val="CC0000"/>
          <w:sz w:val="22"/>
          <w:szCs w:val="22"/>
        </w:rPr>
        <w:t xml:space="preserve">Immune Modulation: </w:t>
      </w:r>
      <w:r>
        <w:rPr>
          <w:rFonts w:ascii="Arial" w:cs="Arial" w:eastAsia="Arial" w:hAnsi="Arial"/>
          <w:color w:val="000000"/>
          <w:sz w:val="22"/>
          <w:szCs w:val="22"/>
        </w:rPr>
        <w:t xml:space="preserve">Modulates T-cell differentiation with implications for immunosenescence.</w:t>
      </w:r>
    </w:p>
    <w:p>
      <w:pPr>
        <w:pBdr>
          <w:bottom w:val="single" w:color="CC0000" w:sz="4" w:space="1"/>
        </w:pBdr>
        <w:spacing w:before="200" w:after="200"/>
      </w:pPr>
    </w:p>
    <w:p>
      <w:pPr>
        <w:pStyle w:val="Heading1"/>
      </w:pPr>
      <w:r>
        <w:rPr>
          <w:rFonts w:ascii="Arial" w:cs="Arial" w:eastAsia="Arial" w:hAnsi="Arial"/>
          <w:b/>
          <w:bCs/>
          <w:color w:val="CC0000"/>
          <w:sz w:val="36"/>
          <w:szCs w:val="36"/>
        </w:rPr>
        <w:t xml:space="preserve">Dosage &amp; Administration</w:t>
      </w:r>
    </w:p>
    <w:p>
      <w:pPr>
        <w:spacing w:after="160" w:line="300"/>
      </w:pPr>
      <w:r>
        <w:rPr>
          <w:rFonts w:ascii="Arial" w:cs="Arial" w:eastAsia="Arial" w:hAnsi="Arial"/>
          <w:color w:val="000000"/>
          <w:sz w:val="22"/>
          <w:szCs w:val="22"/>
        </w:rPr>
        <w:t xml:space="preserve">The following dosage information is provided for research reference purposes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CC0000"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Protocol</w:t>
            </w:r>
          </w:p>
        </w:tc>
        <w:tc>
          <w:tcPr>
            <w:tcW w:type="dxa" w:w="2340"/>
            <w:tcBorders>
              <w:top w:val="single" w:color="CCCCCC" w:sz="1"/>
              <w:left w:val="single" w:color="CCCCCC" w:sz="1"/>
              <w:bottom w:val="single" w:color="CCCCCC" w:sz="1"/>
              <w:right w:val="single" w:color="CCCCCC" w:sz="1"/>
            </w:tcBorders>
            <w:shd w:fill="CC0000"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Dose Range</w:t>
            </w:r>
          </w:p>
        </w:tc>
        <w:tc>
          <w:tcPr>
            <w:tcW w:type="dxa" w:w="2340"/>
            <w:tcBorders>
              <w:top w:val="single" w:color="CCCCCC" w:sz="1"/>
              <w:left w:val="single" w:color="CCCCCC" w:sz="1"/>
              <w:bottom w:val="single" w:color="CCCCCC" w:sz="1"/>
              <w:right w:val="single" w:color="CCCCCC" w:sz="1"/>
            </w:tcBorders>
            <w:shd w:fill="CC0000"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Route</w:t>
            </w:r>
          </w:p>
        </w:tc>
        <w:tc>
          <w:tcPr>
            <w:tcW w:type="dxa" w:w="2340"/>
            <w:tcBorders>
              <w:top w:val="single" w:color="CCCCCC" w:sz="1"/>
              <w:left w:val="single" w:color="CCCCCC" w:sz="1"/>
              <w:bottom w:val="single" w:color="CCCCCC" w:sz="1"/>
              <w:right w:val="single" w:color="CCCCCC" w:sz="1"/>
            </w:tcBorders>
            <w:shd w:fill="CC0000"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Frequency</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000000"/>
                <w:sz w:val="20"/>
                <w:szCs w:val="20"/>
              </w:rPr>
              <w:t xml:space="preserve">Low / Introductory</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000000"/>
                <w:sz w:val="20"/>
                <w:szCs w:val="20"/>
              </w:rPr>
              <w:t xml:space="preserve">5 mg</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000000"/>
                <w:sz w:val="20"/>
                <w:szCs w:val="20"/>
              </w:rPr>
              <w:t xml:space="preserve">SubQ Injection</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000000"/>
                <w:sz w:val="20"/>
                <w:szCs w:val="20"/>
              </w:rPr>
              <w:t xml:space="preserve">3x per week</w:t>
            </w:r>
          </w:p>
        </w:tc>
      </w:tr>
      <w:tr>
        <w:tc>
          <w:tcPr>
            <w:tcW w:type="dxa" w:w="23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color w:val="000000"/>
                <w:sz w:val="20"/>
                <w:szCs w:val="20"/>
              </w:rPr>
              <w:t xml:space="preserve">Standard</w:t>
            </w:r>
          </w:p>
        </w:tc>
        <w:tc>
          <w:tcPr>
            <w:tcW w:type="dxa" w:w="23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color w:val="000000"/>
                <w:sz w:val="20"/>
                <w:szCs w:val="20"/>
              </w:rPr>
              <w:t xml:space="preserve">10 mg</w:t>
            </w:r>
          </w:p>
        </w:tc>
        <w:tc>
          <w:tcPr>
            <w:tcW w:type="dxa" w:w="23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color w:val="000000"/>
                <w:sz w:val="20"/>
                <w:szCs w:val="20"/>
              </w:rPr>
              <w:t xml:space="preserve">SubQ Injection</w:t>
            </w:r>
          </w:p>
        </w:tc>
        <w:tc>
          <w:tcPr>
            <w:tcW w:type="dxa" w:w="23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color w:val="000000"/>
                <w:sz w:val="20"/>
                <w:szCs w:val="20"/>
              </w:rPr>
              <w:t xml:space="preserve">3-5x per week</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000000"/>
                <w:sz w:val="20"/>
                <w:szCs w:val="20"/>
              </w:rPr>
              <w:t xml:space="preserve">Advanced / Loading</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000000"/>
                <w:sz w:val="20"/>
                <w:szCs w:val="20"/>
              </w:rPr>
              <w:t xml:space="preserve">10-15 mg</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000000"/>
                <w:sz w:val="20"/>
                <w:szCs w:val="20"/>
              </w:rPr>
              <w:t xml:space="preserve">SubQ Injection</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000000"/>
                <w:sz w:val="20"/>
                <w:szCs w:val="20"/>
              </w:rPr>
              <w:t xml:space="preserve">Daily x 5 days/week</w:t>
            </w:r>
          </w:p>
        </w:tc>
      </w:tr>
      <w:tr>
        <w:tc>
          <w:tcPr>
            <w:tcW w:type="dxa" w:w="23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color w:val="000000"/>
                <w:sz w:val="20"/>
                <w:szCs w:val="20"/>
              </w:rPr>
              <w:t xml:space="preserve">Maintenance</w:t>
            </w:r>
          </w:p>
        </w:tc>
        <w:tc>
          <w:tcPr>
            <w:tcW w:type="dxa" w:w="23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color w:val="000000"/>
                <w:sz w:val="20"/>
                <w:szCs w:val="20"/>
              </w:rPr>
              <w:t xml:space="preserve">5-10 mg</w:t>
            </w:r>
          </w:p>
        </w:tc>
        <w:tc>
          <w:tcPr>
            <w:tcW w:type="dxa" w:w="23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color w:val="000000"/>
                <w:sz w:val="20"/>
                <w:szCs w:val="20"/>
              </w:rPr>
              <w:t xml:space="preserve">SubQ Injection</w:t>
            </w:r>
          </w:p>
        </w:tc>
        <w:tc>
          <w:tcPr>
            <w:tcW w:type="dxa" w:w="23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color w:val="000000"/>
                <w:sz w:val="20"/>
                <w:szCs w:val="20"/>
              </w:rPr>
              <w:t xml:space="preserve">2-3x per week</w:t>
            </w:r>
          </w:p>
        </w:tc>
      </w:tr>
    </w:tbl>
    <w:p>
      <w:pPr>
        <w:spacing w:before="200"/>
      </w:pPr>
    </w:p>
    <w:p>
      <w:pPr>
        <w:pStyle w:val="Heading2"/>
      </w:pPr>
      <w:r>
        <w:rPr>
          <w:rFonts w:ascii="Arial" w:cs="Arial" w:eastAsia="Arial" w:hAnsi="Arial"/>
          <w:b/>
          <w:bCs/>
          <w:color w:val="CC0000"/>
          <w:sz w:val="28"/>
          <w:szCs w:val="28"/>
        </w:rPr>
        <w:t xml:space="preserve">Reconstitution Guidelines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CC0000"/>
                <w:sz w:val="22"/>
                <w:szCs w:val="22"/>
              </w:rPr>
              <w:t xml:space="preserve">Solvent</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2"/>
                <w:szCs w:val="22"/>
              </w:rPr>
              <w:t xml:space="preserve">Sterile bacteriostatic water</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CC0000"/>
                <w:sz w:val="22"/>
                <w:szCs w:val="22"/>
              </w:rPr>
              <w:t xml:space="preserve">Reconstitution</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000000"/>
                <w:sz w:val="22"/>
                <w:szCs w:val="22"/>
              </w:rPr>
              <w:t xml:space="preserve">1-2 mL BAC water per vial</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CC0000"/>
                <w:sz w:val="22"/>
                <w:szCs w:val="22"/>
              </w:rPr>
              <w:t xml:space="preserve">Mixing</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2"/>
                <w:szCs w:val="22"/>
              </w:rPr>
              <w:t xml:space="preserve">Gently swirl until dissolved, do not shake</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CC0000"/>
                <w:sz w:val="22"/>
                <w:szCs w:val="22"/>
              </w:rPr>
              <w:t xml:space="preserve">Storage</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000000"/>
                <w:sz w:val="22"/>
                <w:szCs w:val="22"/>
              </w:rPr>
              <w:t xml:space="preserve">Refrigerate at 2-8C, use within 21 days</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CC0000"/>
                <w:sz w:val="22"/>
                <w:szCs w:val="22"/>
              </w:rPr>
              <w:t xml:space="preserve">Injection Site</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2"/>
                <w:szCs w:val="22"/>
              </w:rPr>
              <w:t xml:space="preserve">Subcutaneous (abdomen, thigh), rotate sites</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CC0000"/>
                <w:sz w:val="22"/>
                <w:szCs w:val="22"/>
              </w:rPr>
              <w:t xml:space="preserve">Timing</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000000"/>
                <w:sz w:val="22"/>
                <w:szCs w:val="22"/>
              </w:rPr>
              <w:t xml:space="preserve">Morning administration preferred (aligns with metabolic rhythm)</w:t>
            </w:r>
          </w:p>
        </w:tc>
      </w:tr>
    </w:tbl>
    <w:p>
      <w:pPr>
        <w:pBdr>
          <w:bottom w:val="single" w:color="CC0000" w:sz="4" w:space="1"/>
        </w:pBdr>
        <w:spacing w:before="200" w:after="200"/>
      </w:pPr>
    </w:p>
    <w:p>
      <w:pPr>
        <w:pStyle w:val="Heading1"/>
      </w:pPr>
      <w:r>
        <w:rPr>
          <w:rFonts w:ascii="Arial" w:cs="Arial" w:eastAsia="Arial" w:hAnsi="Arial"/>
          <w:b/>
          <w:bCs/>
          <w:color w:val="CC0000"/>
          <w:sz w:val="36"/>
          <w:szCs w:val="36"/>
        </w:rPr>
        <w:t xml:space="preserve">Safety Profile</w:t>
      </w:r>
    </w:p>
    <w:p>
      <w:pPr>
        <w:spacing w:after="160" w:line="300"/>
      </w:pPr>
      <w:r>
        <w:rPr>
          <w:rFonts w:ascii="Arial" w:cs="Arial" w:eastAsia="Arial" w:hAnsi="Arial"/>
          <w:color w:val="000000"/>
          <w:sz w:val="22"/>
          <w:szCs w:val="22"/>
        </w:rPr>
        <w:t xml:space="preserve">MOTS-c is an endogenously produced peptide with a favorable safety profile:</w:t>
      </w:r>
    </w:p>
    <w:p>
      <w:pPr>
        <w:pStyle w:val="ListParagraph"/>
        <w:numPr>
          <w:ilvl w:val="0"/>
          <w:numId w:val="2"/>
        </w:numPr>
        <w:spacing w:after="80" w:line="300"/>
      </w:pPr>
      <w:r>
        <w:rPr>
          <w:rFonts w:ascii="Arial" w:cs="Arial" w:eastAsia="Arial" w:hAnsi="Arial"/>
          <w:b/>
          <w:bCs/>
          <w:color w:val="CC0000"/>
          <w:sz w:val="22"/>
          <w:szCs w:val="22"/>
        </w:rPr>
        <w:t xml:space="preserve">General Tolerability: </w:t>
      </w:r>
      <w:r>
        <w:rPr>
          <w:rFonts w:ascii="Arial" w:cs="Arial" w:eastAsia="Arial" w:hAnsi="Arial"/>
          <w:color w:val="000000"/>
          <w:sz w:val="22"/>
          <w:szCs w:val="22"/>
        </w:rPr>
        <w:t xml:space="preserve">Excellent tolerability in animal models with no significant adverse effects at research doses.</w:t>
      </w:r>
    </w:p>
    <w:p>
      <w:pPr>
        <w:pStyle w:val="ListParagraph"/>
        <w:numPr>
          <w:ilvl w:val="0"/>
          <w:numId w:val="2"/>
        </w:numPr>
        <w:spacing w:after="80" w:line="300"/>
      </w:pPr>
      <w:r>
        <w:rPr>
          <w:rFonts w:ascii="Arial" w:cs="Arial" w:eastAsia="Arial" w:hAnsi="Arial"/>
          <w:b/>
          <w:bCs/>
          <w:color w:val="CC0000"/>
          <w:sz w:val="22"/>
          <w:szCs w:val="22"/>
        </w:rPr>
        <w:t xml:space="preserve">Injection Site: </w:t>
      </w:r>
      <w:r>
        <w:rPr>
          <w:rFonts w:ascii="Arial" w:cs="Arial" w:eastAsia="Arial" w:hAnsi="Arial"/>
          <w:color w:val="000000"/>
          <w:sz w:val="22"/>
          <w:szCs w:val="22"/>
        </w:rPr>
        <w:t xml:space="preserve">Mild, transient reactions possible at subcutaneous injection sites.</w:t>
      </w:r>
    </w:p>
    <w:p>
      <w:pPr>
        <w:pStyle w:val="ListParagraph"/>
        <w:numPr>
          <w:ilvl w:val="0"/>
          <w:numId w:val="2"/>
        </w:numPr>
        <w:spacing w:after="80" w:line="300"/>
      </w:pPr>
      <w:r>
        <w:rPr>
          <w:rFonts w:ascii="Arial" w:cs="Arial" w:eastAsia="Arial" w:hAnsi="Arial"/>
          <w:b/>
          <w:bCs/>
          <w:color w:val="CC0000"/>
          <w:sz w:val="22"/>
          <w:szCs w:val="22"/>
        </w:rPr>
        <w:t xml:space="preserve">Hypoglycemia Risk: </w:t>
      </w:r>
      <w:r>
        <w:rPr>
          <w:rFonts w:ascii="Arial" w:cs="Arial" w:eastAsia="Arial" w:hAnsi="Arial"/>
          <w:color w:val="000000"/>
          <w:sz w:val="22"/>
          <w:szCs w:val="22"/>
        </w:rPr>
        <w:t xml:space="preserve">Monitor when used with concurrent anti-diabetic medications.</w:t>
      </w:r>
    </w:p>
    <w:p>
      <w:pPr>
        <w:pStyle w:val="ListParagraph"/>
        <w:numPr>
          <w:ilvl w:val="0"/>
          <w:numId w:val="2"/>
        </w:numPr>
        <w:spacing w:after="80" w:line="300"/>
      </w:pPr>
      <w:r>
        <w:rPr>
          <w:rFonts w:ascii="Arial" w:cs="Arial" w:eastAsia="Arial" w:hAnsi="Arial"/>
          <w:b/>
          <w:bCs/>
          <w:color w:val="CC0000"/>
          <w:sz w:val="22"/>
          <w:szCs w:val="22"/>
        </w:rPr>
        <w:t xml:space="preserve">Drug Interactions: </w:t>
      </w:r>
      <w:r>
        <w:rPr>
          <w:rFonts w:ascii="Arial" w:cs="Arial" w:eastAsia="Arial" w:hAnsi="Arial"/>
          <w:color w:val="000000"/>
          <w:sz w:val="22"/>
          <w:szCs w:val="22"/>
        </w:rPr>
        <w:t xml:space="preserve">May interact with metformin and other AMPK activators.</w:t>
      </w:r>
    </w:p>
    <w:p>
      <w:pPr>
        <w:pStyle w:val="ListParagraph"/>
        <w:numPr>
          <w:ilvl w:val="0"/>
          <w:numId w:val="2"/>
        </w:numPr>
        <w:spacing w:after="80" w:line="300"/>
      </w:pPr>
      <w:r>
        <w:rPr>
          <w:rFonts w:ascii="Arial" w:cs="Arial" w:eastAsia="Arial" w:hAnsi="Arial"/>
          <w:b/>
          <w:bCs/>
          <w:color w:val="CC0000"/>
          <w:sz w:val="22"/>
          <w:szCs w:val="22"/>
        </w:rPr>
        <w:t xml:space="preserve">Cancer Considerations: </w:t>
      </w:r>
      <w:r>
        <w:rPr>
          <w:rFonts w:ascii="Arial" w:cs="Arial" w:eastAsia="Arial" w:hAnsi="Arial"/>
          <w:color w:val="000000"/>
          <w:sz w:val="22"/>
          <w:szCs w:val="22"/>
        </w:rPr>
        <w:t xml:space="preserve">While anti-tumor properties observed in some models, caution warranted with active malignancies.</w:t>
      </w:r>
    </w:p>
    <w:p>
      <w:pPr>
        <w:pStyle w:val="ListParagraph"/>
        <w:numPr>
          <w:ilvl w:val="0"/>
          <w:numId w:val="2"/>
        </w:numPr>
        <w:spacing w:after="80" w:line="300"/>
      </w:pPr>
      <w:r>
        <w:rPr>
          <w:rFonts w:ascii="Arial" w:cs="Arial" w:eastAsia="Arial" w:hAnsi="Arial"/>
          <w:b/>
          <w:bCs/>
          <w:color w:val="CC0000"/>
          <w:sz w:val="22"/>
          <w:szCs w:val="22"/>
        </w:rPr>
        <w:t xml:space="preserve">Pregnancy &amp; Nursing: </w:t>
      </w:r>
      <w:r>
        <w:rPr>
          <w:rFonts w:ascii="Arial" w:cs="Arial" w:eastAsia="Arial" w:hAnsi="Arial"/>
          <w:color w:val="000000"/>
          <w:sz w:val="22"/>
          <w:szCs w:val="22"/>
        </w:rPr>
        <w:t xml:space="preserve">Insufficient safety data; use not recommended.</w:t>
      </w:r>
    </w:p>
    <w:p>
      <w:pPr>
        <w:pBdr>
          <w:bottom w:val="single" w:color="CC0000" w:sz="4" w:space="1"/>
        </w:pBdr>
        <w:spacing w:before="200" w:after="200"/>
      </w:pPr>
    </w:p>
    <w:p>
      <w:pPr>
        <w:pStyle w:val="Heading1"/>
      </w:pPr>
      <w:r>
        <w:rPr>
          <w:rFonts w:ascii="Arial" w:cs="Arial" w:eastAsia="Arial" w:hAnsi="Arial"/>
          <w:b/>
          <w:bCs/>
          <w:color w:val="CC0000"/>
          <w:sz w:val="36"/>
          <w:szCs w:val="36"/>
        </w:rPr>
        <w:t xml:space="preserve">Key References</w:t>
      </w:r>
    </w:p>
    <w:p>
      <w:pPr>
        <w:pStyle w:val="ListParagraph"/>
        <w:numPr>
          <w:ilvl w:val="0"/>
          <w:numId w:val="3"/>
        </w:numPr>
        <w:spacing w:after="80" w:line="300"/>
      </w:pPr>
      <w:r>
        <w:rPr>
          <w:rFonts w:ascii="Arial" w:cs="Arial" w:eastAsia="Arial" w:hAnsi="Arial"/>
          <w:color w:val="000000"/>
          <w:sz w:val="20"/>
          <w:szCs w:val="20"/>
        </w:rPr>
        <w:t xml:space="preserve">Lee C, et al. The Mitochondrial-Derived Peptide MOTS-c Promotes Metabolic Homeostasis and Reduces Obesity and Insulin Resistance. Cell Metabolism. 2015;21(3):443-454.</w:t>
      </w:r>
    </w:p>
    <w:p>
      <w:pPr>
        <w:pStyle w:val="ListParagraph"/>
        <w:numPr>
          <w:ilvl w:val="0"/>
          <w:numId w:val="3"/>
        </w:numPr>
        <w:spacing w:after="80" w:line="300"/>
      </w:pPr>
      <w:r>
        <w:rPr>
          <w:rFonts w:ascii="Arial" w:cs="Arial" w:eastAsia="Arial" w:hAnsi="Arial"/>
          <w:color w:val="000000"/>
          <w:sz w:val="20"/>
          <w:szCs w:val="20"/>
        </w:rPr>
        <w:t xml:space="preserve">Kim KH, et al. The Mitochondrial-Encoded Peptide MOTS-c Translocates to the Nucleus to Regulate Nuclear Gene Expression. Cell Metabolism. 2018;28(3):516-524.</w:t>
      </w:r>
    </w:p>
    <w:p>
      <w:pPr>
        <w:pStyle w:val="ListParagraph"/>
        <w:numPr>
          <w:ilvl w:val="0"/>
          <w:numId w:val="3"/>
        </w:numPr>
        <w:spacing w:after="80" w:line="300"/>
      </w:pPr>
      <w:r>
        <w:rPr>
          <w:rFonts w:ascii="Arial" w:cs="Arial" w:eastAsia="Arial" w:hAnsi="Arial"/>
          <w:color w:val="000000"/>
          <w:sz w:val="20"/>
          <w:szCs w:val="20"/>
        </w:rPr>
        <w:t xml:space="preserve">Reynolds JC, et al. MOTS-c is an Exercise-Induced Mitochondrial-Encoded Regulator of Age-Dependent Physical Decline. Nature Communications. 2021;12(1):470.</w:t>
      </w:r>
    </w:p>
    <w:p>
      <w:pPr>
        <w:pStyle w:val="ListParagraph"/>
        <w:numPr>
          <w:ilvl w:val="0"/>
          <w:numId w:val="3"/>
        </w:numPr>
        <w:spacing w:after="80" w:line="300"/>
      </w:pPr>
      <w:r>
        <w:rPr>
          <w:rFonts w:ascii="Arial" w:cs="Arial" w:eastAsia="Arial" w:hAnsi="Arial"/>
          <w:color w:val="000000"/>
          <w:sz w:val="20"/>
          <w:szCs w:val="20"/>
        </w:rPr>
        <w:t xml:space="preserve">Ming W, et al. MOTS-c Suppresses Ovariectomy-Induced Bone Loss via AMPK Activation. Biochemical and Biophysical Research Communications. 2016;476(4):412-419.</w:t>
      </w:r>
    </w:p>
    <w:p>
      <w:pPr>
        <w:pStyle w:val="ListParagraph"/>
        <w:numPr>
          <w:ilvl w:val="0"/>
          <w:numId w:val="3"/>
        </w:numPr>
        <w:spacing w:after="80" w:line="300"/>
      </w:pPr>
      <w:r>
        <w:rPr>
          <w:rFonts w:ascii="Arial" w:cs="Arial" w:eastAsia="Arial" w:hAnsi="Arial"/>
          <w:color w:val="000000"/>
          <w:sz w:val="20"/>
          <w:szCs w:val="20"/>
        </w:rPr>
        <w:t xml:space="preserve">Zhai D, et al. MOTS-c Peptide Increases Survival and Decreases Bacterial Load in Mice Infected with MRSA. Molecular Immunology. 2017;92:151-160.</w:t>
      </w:r>
    </w:p>
    <w:p>
      <w:pPr>
        <w:pStyle w:val="ListParagraph"/>
        <w:numPr>
          <w:ilvl w:val="0"/>
          <w:numId w:val="3"/>
        </w:numPr>
        <w:spacing w:after="80" w:line="300"/>
      </w:pPr>
      <w:r>
        <w:rPr>
          <w:rFonts w:ascii="Arial" w:cs="Arial" w:eastAsia="Arial" w:hAnsi="Arial"/>
          <w:color w:val="000000"/>
          <w:sz w:val="20"/>
          <w:szCs w:val="20"/>
        </w:rPr>
        <w:t xml:space="preserve">Lu H, et al. MOTS-c Regulates Adipose Homeostasis to Prevent Ovariectomy-Induced Metabolic Dysfunction. Journal of Molecular Medicine. 2019;97(4):473-485.</w:t>
      </w:r>
    </w:p>
    <w:p>
      <w:pPr>
        <w:pStyle w:val="ListParagraph"/>
        <w:numPr>
          <w:ilvl w:val="0"/>
          <w:numId w:val="3"/>
        </w:numPr>
        <w:spacing w:after="80" w:line="300"/>
      </w:pPr>
      <w:r>
        <w:rPr>
          <w:rFonts w:ascii="Arial" w:cs="Arial" w:eastAsia="Arial" w:hAnsi="Arial"/>
          <w:color w:val="000000"/>
          <w:sz w:val="20"/>
          <w:szCs w:val="20"/>
        </w:rPr>
        <w:t xml:space="preserve">Kumagai H, et al. MOTS-c Reduces Myostatin and Muscle Atrophy Signaling. American Journal of Physiology. 2021;320(4):E680-E690.</w:t>
      </w:r>
    </w:p>
    <w:p>
      <w:pPr>
        <w:pBdr>
          <w:bottom w:val="single" w:color="CC0000" w:sz="4" w:space="1"/>
        </w:pBdr>
        <w:spacing w:before="200" w:after="200"/>
      </w:pPr>
    </w:p>
    <w:p>
      <w:pPr>
        <w:pStyle w:val="Heading1"/>
      </w:pPr>
      <w:r>
        <w:rPr>
          <w:rFonts w:ascii="Arial" w:cs="Arial" w:eastAsia="Arial" w:hAnsi="Arial"/>
          <w:b/>
          <w:bCs/>
          <w:color w:val="CC0000"/>
          <w:sz w:val="36"/>
          <w:szCs w:val="36"/>
        </w:rPr>
        <w:t xml:space="preserve">Contact &amp;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CC0000"/>
                <w:sz w:val="22"/>
                <w:szCs w:val="22"/>
              </w:rPr>
              <w:t xml:space="preserve">Company</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2"/>
                <w:szCs w:val="22"/>
              </w:rPr>
              <w:t xml:space="preserve">Iron Cell Research</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CC0000"/>
                <w:sz w:val="22"/>
                <w:szCs w:val="22"/>
              </w:rPr>
              <w:t xml:space="preserve">Website</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000000"/>
                <w:sz w:val="22"/>
                <w:szCs w:val="22"/>
              </w:rPr>
              <w:t xml:space="preserve">IronCellResearch.com</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CC0000"/>
                <w:sz w:val="22"/>
                <w:szCs w:val="22"/>
              </w:rPr>
              <w:t xml:space="preserve">Email</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2"/>
                <w:szCs w:val="22"/>
              </w:rPr>
              <w:t xml:space="preserve">orders@ironcellresearch.com</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CC0000"/>
                <w:sz w:val="22"/>
                <w:szCs w:val="22"/>
              </w:rPr>
              <w:t xml:space="preserve">Product Support</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000000"/>
                <w:sz w:val="22"/>
                <w:szCs w:val="22"/>
              </w:rPr>
              <w:t xml:space="preserve">Available via website contact form</w:t>
            </w:r>
          </w:p>
        </w:tc>
      </w:tr>
    </w:tbl>
    <w:p>
      <w:pPr>
        <w:pBdr>
          <w:bottom w:val="single" w:color="CC0000" w:sz="4" w:space="1"/>
        </w:pBdr>
        <w:spacing w:before="200" w:after="200"/>
      </w:pPr>
    </w:p>
    <w:p>
      <w:pPr>
        <w:pStyle w:val="Heading1"/>
      </w:pPr>
      <w:r>
        <w:rPr>
          <w:rFonts w:ascii="Arial" w:cs="Arial" w:eastAsia="Arial" w:hAnsi="Arial"/>
          <w:b/>
          <w:bCs/>
          <w:color w:val="CC0000"/>
          <w:sz w:val="36"/>
          <w:szCs w:val="36"/>
        </w:rPr>
        <w:t xml:space="preserve">Disclaimer</w:t>
      </w:r>
    </w:p>
    <w:p>
      <w:pPr>
        <w:spacing w:after="160" w:line="300"/>
      </w:pPr>
      <w:r>
        <w:rPr>
          <w:rFonts w:ascii="Arial" w:cs="Arial" w:eastAsia="Arial" w:hAnsi="Arial"/>
          <w:color w:val="000000"/>
          <w:sz w:val="22"/>
          <w:szCs w:val="22"/>
        </w:rPr>
        <w:t xml:space="preserve">This document is intended for informational and research purposes only. MOTS-c is sold as a research compound and is not intended for human consumption. The information provided herein does not constitute medical advice, diagnosis, or treatment recommendations. All research applications should comply with applicable institutional, local, and federal regulations. Iron Cell Research makes no claims regarding the therapeutic efficacy of MOTS-c for any medical condition. Researchers should consult with qualified healthcare professionals and institutional review boards before initiating any research protocols involving human subjects.</w:t>
      </w:r>
    </w:p>
    <w:p>
      <w:pPr>
        <w:spacing w:before="300"/>
        <w:jc w:val="center"/>
      </w:pPr>
      <w:r>
        <w:rPr>
          <w:rFonts w:ascii="Arial" w:cs="Arial" w:eastAsia="Arial" w:hAnsi="Arial"/>
          <w:i/>
          <w:iCs/>
          <w:color w:val="999999"/>
          <w:sz w:val="20"/>
          <w:szCs w:val="20"/>
        </w:rPr>
        <w:t xml:space="preserve">Iron Cell Research - For Research Use Only</w:t>
      </w:r>
    </w:p>
    <w:p>
      <w:pPr>
        <w:spacing w:before="100"/>
        <w:jc w:val="center"/>
      </w:pPr>
      <w:r>
        <w:drawing>
          <wp:inline distT="0" distB="0" distL="0" distR="0">
            <wp:extent cx="857250" cy="571500"/>
            <wp:effectExtent t="0" r="0" b="0" l="0"/>
            <wp:docPr id="1" name="logo" descr="Iron Cell Research Logo" title="Iron Cell Re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857250" cy="571500"/>
                    </a:xfrm>
                    <a:prstGeom prst="rect">
                      <a:avLst/>
                    </a:prstGeom>
                  </pic:spPr>
                </pic:pic>
              </a:graphicData>
            </a:graphic>
          </wp:inline>
        </w:drawing>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bottom w:val="single" w:color="CC0000" w:sz="4" w:space="1"/>
      </w:pBdr>
    </w:pPr>
  </w:p>
  <w:p>
    <w:pPr>
      <w:spacing w:before="80"/>
      <w:jc w:val="center"/>
    </w:pPr>
    <w:r>
      <w:rPr>
        <w:rFonts w:ascii="Arial" w:cs="Arial" w:eastAsia="Arial" w:hAnsi="Arial"/>
        <w:color w:val="999999"/>
        <w:sz w:val="16"/>
        <w:szCs w:val="16"/>
      </w:rPr>
      <w:t xml:space="preserve">IronCellResearch.com  |  For Research Use Only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80"/>
    </w:pPr>
    <w:r>
      <w:drawing>
        <wp:inline distT="0" distB="0" distL="0" distR="0">
          <wp:extent cx="857250" cy="571500"/>
          <wp:effectExtent t="0" r="0" b="0" l="0"/>
          <wp:docPr id="1" name="logo" descr="Iron Cell Research Logo" title="Iron Cell Re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857250" cy="571500"/>
                  </a:xfrm>
                  <a:prstGeom prst="rect">
                    <a:avLst/>
                  </a:prstGeom>
                </pic:spPr>
              </pic:pic>
            </a:graphicData>
          </a:graphic>
        </wp:inline>
      </w:drawing>
    </w:r>
    <w:r>
      <w:rPr>
        <w:rFonts w:ascii="Arial" w:cs="Arial" w:eastAsia="Arial" w:hAnsi="Arial"/>
        <w:color w:val="999999"/>
        <w:sz w:val="18"/>
        <w:szCs w:val="18"/>
      </w:rPr>
      <w:t xml:space="preserve">    MOTS-c Peptide Brief</w:t>
    </w:r>
  </w:p>
  <w:p>
    <w:pPr>
      <w:pBdr>
        <w:bottom w:val="single" w:color="CC0000" w:sz="4" w:space="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CC0000"/>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CC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ef53fdf121203c8a81534bccd3c88a6a13827eed.png"/><Relationship Id="rId9"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ef53fdf121203c8a81534bccd3c88a6a13827eed.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2026-03-28T14:18:09.334Z</dcterms:created>
  <dcterms:modified xsi:type="dcterms:W3CDTF">2026-03-28T14:18:09.334Z</dcterms:modified>
</cp:coreProperties>
</file>

<file path=docProps/custom.xml><?xml version="1.0" encoding="utf-8"?>
<Properties xmlns="http://schemas.openxmlformats.org/officeDocument/2006/custom-properties" xmlns:vt="http://schemas.openxmlformats.org/officeDocument/2006/docPropsVTypes"/>
</file>