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rFonts w:ascii="Arial" w:cs="Arial" w:eastAsia="Arial" w:hAnsi="Arial"/>
          <w:color w:val="999999"/>
          <w:sz w:val="22"/>
          <w:szCs w:val="22"/>
        </w:rPr>
        <w:t xml:space="preserve">PEPTIDE RESEARCH BRIEF</w:t>
      </w:r>
    </w:p>
    <w:p>
      <w:pPr>
        <w:jc w:val="center"/>
      </w:pPr>
      <w:r>
        <w:rPr>
          <w:rFonts w:ascii="Arial" w:cs="Arial" w:eastAsia="Arial" w:hAnsi="Arial"/>
          <w:b/>
          <w:bCs/>
          <w:color w:val="CC0000"/>
          <w:sz w:val="64"/>
          <w:szCs w:val="64"/>
        </w:rPr>
        <w:t xml:space="preserve">Sermorelin</w:t>
      </w:r>
    </w:p>
    <w:p>
      <w:pPr>
        <w:jc w:val="center"/>
      </w:pPr>
      <w:r>
        <w:rPr>
          <w:rFonts w:ascii="Arial" w:cs="Arial" w:eastAsia="Arial" w:hAnsi="Arial"/>
          <w:color w:val="555555"/>
          <w:sz w:val="22"/>
          <w:szCs w:val="22"/>
        </w:rPr>
        <w:t xml:space="preserve">Synthetic GHRH Analog (1-29) | Growth Hormone Secretagogue Research</w:t>
      </w:r>
    </w:p>
    <w:p/>
    <w:p>
      <w:pPr>
        <w:jc w:val="center"/>
      </w:pPr>
      <w:r>
        <w:rPr>
          <w:rFonts w:ascii="Arial" w:cs="Arial" w:eastAsia="Arial" w:hAnsi="Arial"/>
          <w:color w:val="333333"/>
          <w:sz w:val="24"/>
          <w:szCs w:val="24"/>
        </w:rPr>
        <w:t xml:space="preserve">Description, Benefits, Dosage &amp; Research Overview</w:t>
      </w:r>
    </w:p>
    <w:p/>
    <w:p>
      <w:pPr>
        <w:jc w:val="center"/>
      </w:pPr>
      <w:r>
        <w:rPr>
          <w:rFonts w:ascii="Arial" w:cs="Arial" w:eastAsia="Arial" w:hAnsi="Arial"/>
          <w:b/>
          <w:bCs/>
          <w:color w:val="CC0000"/>
          <w:sz w:val="26"/>
          <w:szCs w:val="26"/>
        </w:rPr>
        <w:t xml:space="preserve">Iron Cell Research</w:t>
      </w:r>
    </w:p>
    <w:p>
      <w:pPr>
        <w:jc w:val="center"/>
      </w:pPr>
      <w:r>
        <w:rPr>
          <w:rFonts w:ascii="Arial" w:cs="Arial" w:eastAsia="Arial" w:hAnsi="Arial"/>
          <w:color w:val="333333"/>
          <w:sz w:val="22"/>
          <w:szCs w:val="22"/>
        </w:rPr>
        <w:t xml:space="preserve">IronCellResearch.com</w:t>
      </w:r>
    </w:p>
    <w:p>
      <w:pPr>
        <w:jc w:val="center"/>
      </w:pPr>
      <w:r>
        <w:rPr>
          <w:rFonts w:ascii="Arial" w:cs="Arial" w:eastAsia="Arial" w:hAnsi="Arial"/>
          <w:color w:val="999999"/>
          <w:sz w:val="22"/>
          <w:szCs w:val="22"/>
        </w:rPr>
        <w:t xml:space="preserve">For Research Use Only</w:t>
      </w:r>
    </w:p>
    <w:p/>
    <w:p>
      <w:pPr>
        <w:spacing w:after="120" w:before="240"/>
      </w:pPr>
      <w:r>
        <w:rPr>
          <w:rFonts w:ascii="Arial" w:cs="Arial" w:eastAsia="Arial" w:hAnsi="Arial"/>
          <w:b/>
          <w:bCs/>
          <w:color w:val="CC0000"/>
          <w:sz w:val="32"/>
          <w:szCs w:val="32"/>
        </w:rPr>
        <w:t xml:space="preserve">Overview</w:t>
      </w:r>
    </w:p>
    <w:p>
      <w:pPr>
        <w:spacing w:after="120"/>
      </w:pPr>
      <w:r>
        <w:rPr>
          <w:rFonts w:ascii="Arial" w:cs="Arial" w:eastAsia="Arial" w:hAnsi="Arial"/>
          <w:color w:val="222222"/>
          <w:sz w:val="22"/>
          <w:szCs w:val="22"/>
        </w:rPr>
        <w:t xml:space="preserve">Sermorelin is a synthetic peptide analog of the first 29 amino acids of endogenous growth hormone-releasing hormone (GHRH). It represents the shortest fully bioactive fragment of GHRH and has been widely used in research and clinical settings to study the pituitary growth hormone axis.</w:t>
      </w:r>
    </w:p>
    <w:p>
      <w:pPr>
        <w:spacing w:after="120" w:before="240"/>
      </w:pPr>
      <w:r>
        <w:rPr>
          <w:rFonts w:ascii="Arial" w:cs="Arial" w:eastAsia="Arial" w:hAnsi="Arial"/>
          <w:b/>
          <w:bCs/>
          <w:color w:val="CC0000"/>
          <w:sz w:val="32"/>
          <w:szCs w:val="32"/>
        </w:rPr>
        <w:t xml:space="preserve">Mechanism of Action</w:t>
      </w:r>
    </w:p>
    <w:p>
      <w:pPr>
        <w:spacing w:after="120"/>
      </w:pPr>
      <w:r>
        <w:rPr>
          <w:rFonts w:ascii="Arial" w:cs="Arial" w:eastAsia="Arial" w:hAnsi="Arial"/>
          <w:color w:val="222222"/>
          <w:sz w:val="22"/>
          <w:szCs w:val="22"/>
        </w:rPr>
        <w:t xml:space="preserve">Sermorelin binds to GHRH receptors on somatotroph cells of the anterior pituitary gland, stimulating the release of endogenous growth hormone (GH). Unlike direct GH administration, Sermorelin preserves the natural pulsatile GH release pattern and is subject to normal somatostatin feedback, making it useful for studying physiological GH-axis dynamics.</w:t>
      </w:r>
    </w:p>
    <w:p>
      <w:pPr>
        <w:spacing w:after="120" w:before="240"/>
      </w:pPr>
      <w:r>
        <w:rPr>
          <w:rFonts w:ascii="Arial" w:cs="Arial" w:eastAsia="Arial" w:hAnsi="Arial"/>
          <w:b/>
          <w:bCs/>
          <w:color w:val="CC0000"/>
          <w:sz w:val="32"/>
          <w:szCs w:val="32"/>
        </w:rPr>
        <w:t xml:space="preserve">Research Applications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Pituitary GH-axis and somatotroph function research.</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IGF-1 upregulation studies.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Sleep architecture and slow-wave sleep research.</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Body composition and metabolic studies in preclinical models.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Endocrine feedback loop and aging research.</w:t>
      </w:r>
    </w:p>
    <w:p>
      <w:pPr>
        <w:spacing w:after="120" w:before="240"/>
      </w:pPr>
      <w:r>
        <w:rPr>
          <w:rFonts w:ascii="Arial" w:cs="Arial" w:eastAsia="Arial" w:hAnsi="Arial"/>
          <w:b/>
          <w:bCs/>
          <w:color w:val="CC0000"/>
          <w:sz w:val="32"/>
          <w:szCs w:val="32"/>
        </w:rPr>
        <w:t xml:space="preserve">Typical Research Dosing</w:t>
      </w:r>
    </w:p>
    <w:p>
      <w:pPr>
        <w:spacing w:after="120"/>
      </w:pPr>
      <w:r>
        <w:rPr>
          <w:rFonts w:ascii="Arial" w:cs="Arial" w:eastAsia="Arial" w:hAnsi="Arial"/>
          <w:color w:val="222222"/>
          <w:sz w:val="22"/>
          <w:szCs w:val="22"/>
        </w:rPr>
        <w:t xml:space="preserve">Research protocols commonly use doses of 100 mcg to 500 mcg per administration, typically subcutaneous, with 200-300 mcg being a common starting point in preclinical models. Reconstitution with 1-3 mL bacteriostatic water is standard. See the Iron Cell Research Peptide Calculator for exact reconstitution math.</w:t>
      </w:r>
    </w:p>
    <w:p>
      <w:pPr>
        <w:spacing w:after="120" w:before="240"/>
      </w:pPr>
      <w:r>
        <w:rPr>
          <w:rFonts w:ascii="Arial" w:cs="Arial" w:eastAsia="Arial" w:hAnsi="Arial"/>
          <w:b/>
          <w:bCs/>
          <w:color w:val="CC0000"/>
          <w:sz w:val="32"/>
          <w:szCs w:val="32"/>
        </w:rPr>
        <w:t xml:space="preserve">Storage &amp; Handling</w:t>
      </w:r>
    </w:p>
    <w:p>
      <w:pPr>
        <w:spacing w:after="120"/>
      </w:pPr>
      <w:r>
        <w:rPr>
          <w:rFonts w:ascii="Arial" w:cs="Arial" w:eastAsia="Arial" w:hAnsi="Arial"/>
          <w:color w:val="222222"/>
          <w:sz w:val="22"/>
          <w:szCs w:val="22"/>
        </w:rPr>
        <w:t xml:space="preserve">Lyophilized Sermorelin should be stored at -20 degrees C, protected from light. Once reconstituted, refrigerate at 2-8 degrees C and use within 14-30 days. Discard if solution appears cloudy or discolored.</w:t>
      </w:r>
    </w:p>
    <w:p>
      <w:pPr>
        <w:spacing w:after="120" w:before="240"/>
      </w:pPr>
      <w:r>
        <w:rPr>
          <w:rFonts w:ascii="Arial" w:cs="Arial" w:eastAsia="Arial" w:hAnsi="Arial"/>
          <w:b/>
          <w:bCs/>
          <w:color w:val="CC0000"/>
          <w:sz w:val="32"/>
          <w:szCs w:val="32"/>
        </w:rPr>
        <w:t xml:space="preserve">Product Specifications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Peptide: Sermorelin acetate (GHRH 1-29)</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Purity: &gt;= 98% (HPLC verified)</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Format: Lyophilized powder, 10 mg per vial</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Molecular formula: C149H246N44O42S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Molecular weight: approx. 3358 g/mol</w:t>
      </w:r>
    </w:p>
    <w:p/>
    <w:p>
      <w:pPr>
        <w:spacing w:after="120" w:before="240"/>
      </w:pPr>
      <w:r>
        <w:rPr>
          <w:rFonts w:ascii="Arial" w:cs="Arial" w:eastAsia="Arial" w:hAnsi="Arial"/>
          <w:b/>
          <w:bCs/>
          <w:color w:val="CC0000"/>
          <w:sz w:val="32"/>
          <w:szCs w:val="32"/>
        </w:rPr>
        <w:t xml:space="preserve">Important Disclaimer</w:t>
      </w:r>
    </w:p>
    <w:p>
      <w:pPr>
        <w:spacing w:after="120"/>
      </w:pPr>
      <w:r>
        <w:rPr>
          <w:rFonts w:ascii="Arial" w:cs="Arial" w:eastAsia="Arial" w:hAnsi="Arial"/>
          <w:color w:val="222222"/>
          <w:sz w:val="22"/>
          <w:szCs w:val="22"/>
        </w:rPr>
        <w:t xml:space="preserve">All information in this brief is intended solely for scientific and educational research use. Products supplied by Iron Cell Research are not for human consumption. Researchers must handle these compounds only in accordance with applicable laws, regulations, and institutional guidelines. Iron Cell Research makes no medical claims and does not endorse any therapeutic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2026-07-07T23:30:15.493Z</dcterms:created>
  <dcterms:modified xsi:type="dcterms:W3CDTF">2026-07-07T23:30:15.493Z</dcterms:modified>
</cp:coreProperties>
</file>

<file path=docProps/custom.xml><?xml version="1.0" encoding="utf-8"?>
<Properties xmlns="http://schemas.openxmlformats.org/officeDocument/2006/custom-properties" xmlns:vt="http://schemas.openxmlformats.org/officeDocument/2006/docPropsVTypes"/>
</file>