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Melanotan I</w:t>
      </w:r>
    </w:p>
    <w:p>
      <w:pPr>
        <w:pBdr>
          <w:bottom w:val="single" w:color="CC0000" w:sz="6" w:space="8"/>
        </w:pBdr>
        <w:spacing w:after="100"/>
        <w:jc w:val="center"/>
      </w:pPr>
      <w:r>
        <w:rPr>
          <w:rFonts w:ascii="Arial" w:cs="Arial" w:eastAsia="Arial" w:hAnsi="Arial"/>
          <w:color w:val="555555"/>
          <w:sz w:val="22"/>
          <w:szCs w:val="22"/>
        </w:rPr>
        <w:t xml:space="preserve">Synthetic Linear α-MSH Analog | MC1R-Selective Agonist</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Melanotan I (Afamelanotide / NDP-α-MSH)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Linear Tridecapeptide / MC1R-Selective Agonist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Ac-Ser-Tyr-Ser-Nle-Glu-His-D-Phe-Arg-Trp-Gly-Lys-Pro-Val-NH2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C78H111N21O19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1646.85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75921-69-6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30 minutes (IV); 2-3 hours (depot/SubQ)</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Approved (Scenesse) for erythropoietic protoporphyria; ongoing research</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Melanotan I (afamelanotide, NDP-α-MSH) is a synthetic linear analog of alpha-melanocyte-stimulating hormone (α-MSH). Developed at the University of Arizona, it retains the linear backbone of native α-MSH but features two key modifications — Nle⁴ and D-Phe⁷ — that increase metabolic stability and prolong receptor binding compared to endogenous α-MSH.</w:t>
      </w:r>
    </w:p>
    <w:p>
      <w:pPr>
        <w:spacing w:after="160" w:line="300"/>
      </w:pPr>
      <w:r>
        <w:rPr>
          <w:rFonts w:ascii="Arial" w:cs="Arial" w:eastAsia="Arial" w:hAnsi="Arial"/>
          <w:color w:val="000000"/>
          <w:sz w:val="22"/>
          <w:szCs w:val="22"/>
        </w:rPr>
        <w:t xml:space="preserve">Unlike its cyclic counterpart Melanotan II, Melanotan I is selective for the melanocortin-1 receptor (MC1R), the primary driver of eumelanin synthesis in melanocytes. This selectivity supports a cleaner pigmentation profile with substantially fewer off-target effects on appetite, sexual function, or autonomic tone. Marketed as Scenesse for erythropoietic protoporphyria (EPP), it remains the only melanocortin agent approved for clinical photoprotection.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MC1R Selective Activation</w:t>
      </w:r>
    </w:p>
    <w:p>
      <w:pPr>
        <w:spacing w:after="160" w:line="300"/>
      </w:pPr>
      <w:r>
        <w:rPr>
          <w:rFonts w:ascii="Arial" w:cs="Arial" w:eastAsia="Arial" w:hAnsi="Arial"/>
          <w:color w:val="000000"/>
          <w:sz w:val="22"/>
          <w:szCs w:val="22"/>
        </w:rPr>
        <w:t xml:space="preserve">Melanotan I is a high-affinity, MC1R-selective agonist. Activation of MC1R on melanocytes raises intracellular cAMP, activating CREB and upregulating MITF — the master transcription factor for melanocyte pigmentation. The resulting eumelanin provides robust photoprotection with minimal MC3R/MC4R/MC5R cross-reactivity at typical research doses.</w:t>
      </w:r>
    </w:p>
    <w:p>
      <w:pPr>
        <w:pStyle w:val="Heading2"/>
      </w:pPr>
      <w:r>
        <w:rPr>
          <w:rFonts w:ascii="Arial" w:cs="Arial" w:eastAsia="Arial" w:hAnsi="Arial"/>
          <w:b/>
          <w:bCs/>
          <w:color w:val="CC0000"/>
          <w:sz w:val="28"/>
          <w:szCs w:val="28"/>
        </w:rPr>
        <w:t xml:space="preserve">Eumelanin Synthesis</w:t>
      </w:r>
    </w:p>
    <w:p>
      <w:pPr>
        <w:spacing w:after="160" w:line="300"/>
      </w:pPr>
      <w:r>
        <w:rPr>
          <w:rFonts w:ascii="Arial" w:cs="Arial" w:eastAsia="Arial" w:hAnsi="Arial"/>
          <w:color w:val="000000"/>
          <w:sz w:val="22"/>
          <w:szCs w:val="22"/>
        </w:rPr>
        <w:t xml:space="preserve">MC1R signaling drives a shift toward eumelanin production over pheomelanin. Eumelanin is more photoprotective and absorbs a broader UV spectrum, while pheomelanin synthesis generates reactive oxygen species under UV exposure. This pigment-shift is central to MT-I's photoprotective profile.</w:t>
      </w:r>
    </w:p>
    <w:p>
      <w:pPr>
        <w:pStyle w:val="Heading2"/>
      </w:pPr>
      <w:r>
        <w:rPr>
          <w:rFonts w:ascii="Arial" w:cs="Arial" w:eastAsia="Arial" w:hAnsi="Arial"/>
          <w:b/>
          <w:bCs/>
          <w:color w:val="CC0000"/>
          <w:sz w:val="28"/>
          <w:szCs w:val="28"/>
        </w:rPr>
        <w:t xml:space="preserve">Photoprotection &amp; DNA Repair</w:t>
      </w:r>
    </w:p>
    <w:p>
      <w:pPr>
        <w:spacing w:after="160" w:line="300"/>
      </w:pPr>
      <w:r>
        <w:rPr>
          <w:rFonts w:ascii="Arial" w:cs="Arial" w:eastAsia="Arial" w:hAnsi="Arial"/>
          <w:color w:val="000000"/>
          <w:sz w:val="22"/>
          <w:szCs w:val="22"/>
        </w:rPr>
        <w:t xml:space="preserve">Beyond pigment production, MC1R activation in keratinocytes upregulates nucleotide excision repair pathways and antioxidant defenses, helping mitigate UV-induced DNA damage. These effects underpin clinical use in EPP, where photosensitivity reflects defective heme biosynthesis and protoporphyrin accumulation.</w:t>
      </w:r>
    </w:p>
    <w:p>
      <w:pPr>
        <w:pStyle w:val="Heading2"/>
      </w:pPr>
      <w:r>
        <w:rPr>
          <w:rFonts w:ascii="Arial" w:cs="Arial" w:eastAsia="Arial" w:hAnsi="Arial"/>
          <w:b/>
          <w:bCs/>
          <w:color w:val="CC0000"/>
          <w:sz w:val="28"/>
          <w:szCs w:val="28"/>
        </w:rPr>
        <w:t xml:space="preserve">Receptor Selectivity</w:t>
      </w:r>
    </w:p>
    <w:p>
      <w:pPr>
        <w:spacing w:after="160" w:line="300"/>
      </w:pPr>
      <w:r>
        <w:rPr>
          <w:rFonts w:ascii="Arial" w:cs="Arial" w:eastAsia="Arial" w:hAnsi="Arial"/>
          <w:color w:val="000000"/>
          <w:sz w:val="22"/>
          <w:szCs w:val="22"/>
        </w:rPr>
        <w:t xml:space="preserve">Melanotan I shows substantially weaker activity at MC3R, MC4R, and MC5R relative to MC1R. At research doses this selectivity translates to a cleaner profile — without the broad appetite-suppression, autonomic, or sexual-function effects characteristic of pan-melanocortin agonists like MT-II.</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Skin Pigmentation &amp; UV Protection</w:t>
      </w:r>
    </w:p>
    <w:p>
      <w:pPr>
        <w:pStyle w:val="ListParagraph"/>
        <w:numPr>
          <w:ilvl w:val="0"/>
          <w:numId w:val="2"/>
        </w:numPr>
        <w:spacing w:after="80" w:line="300"/>
      </w:pPr>
      <w:r>
        <w:rPr>
          <w:rFonts w:ascii="Arial" w:cs="Arial" w:eastAsia="Arial" w:hAnsi="Arial"/>
          <w:b/>
          <w:bCs/>
          <w:color w:val="CC0000"/>
          <w:sz w:val="22"/>
          <w:szCs w:val="22"/>
        </w:rPr>
        <w:t xml:space="preserve">Eumelanin Production: </w:t>
      </w:r>
      <w:r>
        <w:rPr>
          <w:rFonts w:ascii="Arial" w:cs="Arial" w:eastAsia="Arial" w:hAnsi="Arial"/>
          <w:color w:val="000000"/>
          <w:sz w:val="22"/>
          <w:szCs w:val="22"/>
        </w:rPr>
        <w:t xml:space="preserve">Selectively increases eumelanin synthesis in melanocytes, producing visible darkening with minimal UV exposure required.</w:t>
      </w:r>
    </w:p>
    <w:p>
      <w:pPr>
        <w:pStyle w:val="ListParagraph"/>
        <w:numPr>
          <w:ilvl w:val="0"/>
          <w:numId w:val="2"/>
        </w:numPr>
        <w:spacing w:after="80" w:line="300"/>
      </w:pPr>
      <w:r>
        <w:rPr>
          <w:rFonts w:ascii="Arial" w:cs="Arial" w:eastAsia="Arial" w:hAnsi="Arial"/>
          <w:b/>
          <w:bCs/>
          <w:color w:val="CC0000"/>
          <w:sz w:val="22"/>
          <w:szCs w:val="22"/>
        </w:rPr>
        <w:t xml:space="preserve">Photoprotection: </w:t>
      </w:r>
      <w:r>
        <w:rPr>
          <w:rFonts w:ascii="Arial" w:cs="Arial" w:eastAsia="Arial" w:hAnsi="Arial"/>
          <w:color w:val="000000"/>
          <w:sz w:val="22"/>
          <w:szCs w:val="22"/>
        </w:rPr>
        <w:t xml:space="preserve">Increased eumelanin density provides broad-spectrum UV protection; clinically significant in EPP and photosensitive populations.</w:t>
      </w:r>
    </w:p>
    <w:p>
      <w:pPr>
        <w:pStyle w:val="ListParagraph"/>
        <w:numPr>
          <w:ilvl w:val="0"/>
          <w:numId w:val="2"/>
        </w:numPr>
        <w:spacing w:after="80" w:line="300"/>
      </w:pPr>
      <w:r>
        <w:rPr>
          <w:rFonts w:ascii="Arial" w:cs="Arial" w:eastAsia="Arial" w:hAnsi="Arial"/>
          <w:b/>
          <w:bCs/>
          <w:color w:val="CC0000"/>
          <w:sz w:val="22"/>
          <w:szCs w:val="22"/>
        </w:rPr>
        <w:t xml:space="preserve">Pigment Profile: </w:t>
      </w:r>
      <w:r>
        <w:rPr>
          <w:rFonts w:ascii="Arial" w:cs="Arial" w:eastAsia="Arial" w:hAnsi="Arial"/>
          <w:color w:val="000000"/>
          <w:sz w:val="22"/>
          <w:szCs w:val="22"/>
        </w:rPr>
        <w:t xml:space="preserve">Eumelanin-favoring pigment shift may reduce oxidative DNA damage associated with pheomelanin pathway dominance.</w:t>
      </w:r>
    </w:p>
    <w:p>
      <w:pPr>
        <w:pStyle w:val="Heading2"/>
      </w:pPr>
      <w:r>
        <w:rPr>
          <w:rFonts w:ascii="Arial" w:cs="Arial" w:eastAsia="Arial" w:hAnsi="Arial"/>
          <w:b/>
          <w:bCs/>
          <w:color w:val="CC0000"/>
          <w:sz w:val="28"/>
          <w:szCs w:val="28"/>
        </w:rPr>
        <w:t xml:space="preserve">EPP &amp; Photosensitivity Disorders</w:t>
      </w:r>
    </w:p>
    <w:p>
      <w:pPr>
        <w:pStyle w:val="ListParagraph"/>
        <w:numPr>
          <w:ilvl w:val="0"/>
          <w:numId w:val="2"/>
        </w:numPr>
        <w:spacing w:after="80" w:line="300"/>
      </w:pPr>
      <w:r>
        <w:rPr>
          <w:rFonts w:ascii="Arial" w:cs="Arial" w:eastAsia="Arial" w:hAnsi="Arial"/>
          <w:b/>
          <w:bCs/>
          <w:color w:val="CC0000"/>
          <w:sz w:val="22"/>
          <w:szCs w:val="22"/>
        </w:rPr>
        <w:t xml:space="preserve">Erythropoietic Protoporphyria: </w:t>
      </w:r>
      <w:r>
        <w:rPr>
          <w:rFonts w:ascii="Arial" w:cs="Arial" w:eastAsia="Arial" w:hAnsi="Arial"/>
          <w:color w:val="000000"/>
          <w:sz w:val="22"/>
          <w:szCs w:val="22"/>
        </w:rPr>
        <w:t xml:space="preserve">FDA- and EMA-approved (Scenesse) for adults with EPP, increasing pain-free light exposure and quality of life.</w:t>
      </w:r>
    </w:p>
    <w:p>
      <w:pPr>
        <w:pStyle w:val="ListParagraph"/>
        <w:numPr>
          <w:ilvl w:val="0"/>
          <w:numId w:val="2"/>
        </w:numPr>
        <w:spacing w:after="80" w:line="300"/>
      </w:pPr>
      <w:r>
        <w:rPr>
          <w:rFonts w:ascii="Arial" w:cs="Arial" w:eastAsia="Arial" w:hAnsi="Arial"/>
          <w:b/>
          <w:bCs/>
          <w:color w:val="CC0000"/>
          <w:sz w:val="22"/>
          <w:szCs w:val="22"/>
        </w:rPr>
        <w:t xml:space="preserve">Polymorphic Light Eruption: </w:t>
      </w:r>
      <w:r>
        <w:rPr>
          <w:rFonts w:ascii="Arial" w:cs="Arial" w:eastAsia="Arial" w:hAnsi="Arial"/>
          <w:color w:val="000000"/>
          <w:sz w:val="22"/>
          <w:szCs w:val="22"/>
        </w:rPr>
        <w:t xml:space="preserve">Investigated in PLE and other photosensitivity disorders where eumelanin reinforcement may reduce symptom burden.</w:t>
      </w:r>
    </w:p>
    <w:p>
      <w:pPr>
        <w:pStyle w:val="ListParagraph"/>
        <w:numPr>
          <w:ilvl w:val="0"/>
          <w:numId w:val="2"/>
        </w:numPr>
        <w:spacing w:after="80" w:line="300"/>
      </w:pPr>
      <w:r>
        <w:rPr>
          <w:rFonts w:ascii="Arial" w:cs="Arial" w:eastAsia="Arial" w:hAnsi="Arial"/>
          <w:b/>
          <w:bCs/>
          <w:color w:val="CC0000"/>
          <w:sz w:val="22"/>
          <w:szCs w:val="22"/>
        </w:rPr>
        <w:t xml:space="preserve">UV Sensitivity: </w:t>
      </w:r>
      <w:r>
        <w:rPr>
          <w:rFonts w:ascii="Arial" w:cs="Arial" w:eastAsia="Arial" w:hAnsi="Arial"/>
          <w:color w:val="000000"/>
          <w:sz w:val="22"/>
          <w:szCs w:val="22"/>
        </w:rPr>
        <w:t xml:space="preserve">Researched for utility in fair-skinned populations and Fitzpatrick types I-II at elevated UV-related risk.</w:t>
      </w:r>
    </w:p>
    <w:p>
      <w:pPr>
        <w:pStyle w:val="Heading2"/>
      </w:pPr>
      <w:r>
        <w:rPr>
          <w:rFonts w:ascii="Arial" w:cs="Arial" w:eastAsia="Arial" w:hAnsi="Arial"/>
          <w:b/>
          <w:bCs/>
          <w:color w:val="CC0000"/>
          <w:sz w:val="28"/>
          <w:szCs w:val="28"/>
        </w:rPr>
        <w:t xml:space="preserve">Cosmetic &amp; Aesthetic Research</w:t>
      </w:r>
    </w:p>
    <w:p>
      <w:pPr>
        <w:pStyle w:val="ListParagraph"/>
        <w:numPr>
          <w:ilvl w:val="0"/>
          <w:numId w:val="2"/>
        </w:numPr>
        <w:spacing w:after="80" w:line="300"/>
      </w:pPr>
      <w:r>
        <w:rPr>
          <w:rFonts w:ascii="Arial" w:cs="Arial" w:eastAsia="Arial" w:hAnsi="Arial"/>
          <w:b/>
          <w:bCs/>
          <w:color w:val="CC0000"/>
          <w:sz w:val="22"/>
          <w:szCs w:val="22"/>
        </w:rPr>
        <w:t xml:space="preserve">Tanning Response: </w:t>
      </w:r>
      <w:r>
        <w:rPr>
          <w:rFonts w:ascii="Arial" w:cs="Arial" w:eastAsia="Arial" w:hAnsi="Arial"/>
          <w:color w:val="000000"/>
          <w:sz w:val="22"/>
          <w:szCs w:val="22"/>
        </w:rPr>
        <w:t xml:space="preserve">Produces darkening of skin pigmentation with substantially reduced cumulative UV exposure required to achieve a tan.</w:t>
      </w:r>
    </w:p>
    <w:p>
      <w:pPr>
        <w:pStyle w:val="ListParagraph"/>
        <w:numPr>
          <w:ilvl w:val="0"/>
          <w:numId w:val="2"/>
        </w:numPr>
        <w:spacing w:after="80" w:line="300"/>
      </w:pPr>
      <w:r>
        <w:rPr>
          <w:rFonts w:ascii="Arial" w:cs="Arial" w:eastAsia="Arial" w:hAnsi="Arial"/>
          <w:b/>
          <w:bCs/>
          <w:color w:val="CC0000"/>
          <w:sz w:val="22"/>
          <w:szCs w:val="22"/>
        </w:rPr>
        <w:t xml:space="preserve">Even Pigmentation: </w:t>
      </w:r>
      <w:r>
        <w:rPr>
          <w:rFonts w:ascii="Arial" w:cs="Arial" w:eastAsia="Arial" w:hAnsi="Arial"/>
          <w:color w:val="000000"/>
          <w:sz w:val="22"/>
          <w:szCs w:val="22"/>
        </w:rPr>
        <w:t xml:space="preserve">MC1R-driven pigmentation tends toward more uniform distribution than UV-stimulated tanning alone.</w:t>
      </w:r>
    </w:p>
    <w:p>
      <w:pPr>
        <w:pStyle w:val="ListParagraph"/>
        <w:numPr>
          <w:ilvl w:val="0"/>
          <w:numId w:val="2"/>
        </w:numPr>
        <w:spacing w:after="80" w:line="300"/>
      </w:pPr>
      <w:r>
        <w:rPr>
          <w:rFonts w:ascii="Arial" w:cs="Arial" w:eastAsia="Arial" w:hAnsi="Arial"/>
          <w:b/>
          <w:bCs/>
          <w:color w:val="CC0000"/>
          <w:sz w:val="22"/>
          <w:szCs w:val="22"/>
        </w:rPr>
        <w:t xml:space="preserve">Tone Retention: </w:t>
      </w:r>
      <w:r>
        <w:rPr>
          <w:rFonts w:ascii="Arial" w:cs="Arial" w:eastAsia="Arial" w:hAnsi="Arial"/>
          <w:color w:val="000000"/>
          <w:sz w:val="22"/>
          <w:szCs w:val="22"/>
        </w:rPr>
        <w:t xml:space="preserve">Pigmentation persists longer than UV-induced tan due to sustained eumelanin synthesis during dosing window.</w:t>
      </w:r>
    </w:p>
    <w:p>
      <w:pPr>
        <w:pStyle w:val="Heading2"/>
      </w:pPr>
      <w:r>
        <w:rPr>
          <w:rFonts w:ascii="Arial" w:cs="Arial" w:eastAsia="Arial" w:hAnsi="Arial"/>
          <w:b/>
          <w:bCs/>
          <w:color w:val="CC0000"/>
          <w:sz w:val="28"/>
          <w:szCs w:val="28"/>
        </w:rPr>
        <w:t xml:space="preserve">MC1R Signaling Effects</w:t>
      </w:r>
    </w:p>
    <w:p>
      <w:pPr>
        <w:pStyle w:val="ListParagraph"/>
        <w:numPr>
          <w:ilvl w:val="0"/>
          <w:numId w:val="2"/>
        </w:numPr>
        <w:spacing w:after="80" w:line="300"/>
      </w:pPr>
      <w:r>
        <w:rPr>
          <w:rFonts w:ascii="Arial" w:cs="Arial" w:eastAsia="Arial" w:hAnsi="Arial"/>
          <w:b/>
          <w:bCs/>
          <w:color w:val="CC0000"/>
          <w:sz w:val="22"/>
          <w:szCs w:val="22"/>
        </w:rPr>
        <w:t xml:space="preserve">Antioxidant Defense: </w:t>
      </w:r>
      <w:r>
        <w:rPr>
          <w:rFonts w:ascii="Arial" w:cs="Arial" w:eastAsia="Arial" w:hAnsi="Arial"/>
          <w:color w:val="000000"/>
          <w:sz w:val="22"/>
          <w:szCs w:val="22"/>
        </w:rPr>
        <w:t xml:space="preserve">MC1R activation upregulates antioxidant enzymes in keratinocytes and melanocytes, reducing UV-induced oxidative stress.</w:t>
      </w:r>
    </w:p>
    <w:p>
      <w:pPr>
        <w:pStyle w:val="ListParagraph"/>
        <w:numPr>
          <w:ilvl w:val="0"/>
          <w:numId w:val="2"/>
        </w:numPr>
        <w:spacing w:after="80" w:line="300"/>
      </w:pPr>
      <w:r>
        <w:rPr>
          <w:rFonts w:ascii="Arial" w:cs="Arial" w:eastAsia="Arial" w:hAnsi="Arial"/>
          <w:b/>
          <w:bCs/>
          <w:color w:val="CC0000"/>
          <w:sz w:val="22"/>
          <w:szCs w:val="22"/>
        </w:rPr>
        <w:t xml:space="preserve">DNA Repair Support: </w:t>
      </w:r>
      <w:r>
        <w:rPr>
          <w:rFonts w:ascii="Arial" w:cs="Arial" w:eastAsia="Arial" w:hAnsi="Arial"/>
          <w:color w:val="000000"/>
          <w:sz w:val="22"/>
          <w:szCs w:val="22"/>
        </w:rPr>
        <w:t xml:space="preserve">Promotes nucleotide excision repair pathways implicated in repair of UV-induced cyclobutane pyrimidine dimers.</w:t>
      </w:r>
    </w:p>
    <w:p>
      <w:pPr>
        <w:pStyle w:val="ListParagraph"/>
        <w:numPr>
          <w:ilvl w:val="0"/>
          <w:numId w:val="2"/>
        </w:numPr>
        <w:spacing w:after="80" w:line="300"/>
      </w:pPr>
      <w:r>
        <w:rPr>
          <w:rFonts w:ascii="Arial" w:cs="Arial" w:eastAsia="Arial" w:hAnsi="Arial"/>
          <w:b/>
          <w:bCs/>
          <w:color w:val="CC0000"/>
          <w:sz w:val="22"/>
          <w:szCs w:val="22"/>
        </w:rPr>
        <w:t xml:space="preserve">Inflammation: </w:t>
      </w:r>
      <w:r>
        <w:rPr>
          <w:rFonts w:ascii="Arial" w:cs="Arial" w:eastAsia="Arial" w:hAnsi="Arial"/>
          <w:color w:val="000000"/>
          <w:sz w:val="22"/>
          <w:szCs w:val="22"/>
        </w:rPr>
        <w:t xml:space="preserve">MC1R signaling has been associated with modulation of local cutaneous inflammatory responses.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Melanotan I is for laboratory research use only and is not intended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Initial / Titration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0.5-1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3-5 days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Loading Phase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2-3 weeks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2-3x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Long-Term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10 mg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30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preferred),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Evening administration may reduce nausea</w:t>
            </w:r>
          </w:p>
        </w:tc>
      </w:tr>
    </w:tbl>
    <w:p>
      <w:pPr>
        <w:spacing w:after="160" w:line="300"/>
      </w:pPr>
      <w:r>
        <w:rPr>
          <w:rFonts w:ascii="Arial" w:cs="Arial" w:eastAsia="Arial" w:hAnsi="Arial"/>
          <w:color w:val="000000"/>
          <w:sz w:val="22"/>
          <w:szCs w:val="22"/>
        </w:rPr>
        <w:t xml:space="preserve">Note: Starting with lower doses during titration helps assess tolerance and minimize nausea.</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Melanotan I (afamelanotide) has been studied clinically and in research with the following considerations:</w:t>
      </w:r>
    </w:p>
    <w:p>
      <w:pPr>
        <w:pStyle w:val="ListParagraph"/>
        <w:numPr>
          <w:ilvl w:val="0"/>
          <w:numId w:val="2"/>
        </w:numPr>
        <w:spacing w:after="80" w:line="300"/>
      </w:pPr>
      <w:r>
        <w:rPr>
          <w:rFonts w:ascii="Arial" w:cs="Arial" w:eastAsia="Arial" w:hAnsi="Arial"/>
          <w:b/>
          <w:bCs/>
          <w:color w:val="CC0000"/>
          <w:sz w:val="22"/>
          <w:szCs w:val="22"/>
        </w:rPr>
        <w:t xml:space="preserve">Nausea: </w:t>
      </w:r>
      <w:r>
        <w:rPr>
          <w:rFonts w:ascii="Arial" w:cs="Arial" w:eastAsia="Arial" w:hAnsi="Arial"/>
          <w:color w:val="000000"/>
          <w:sz w:val="22"/>
          <w:szCs w:val="22"/>
        </w:rPr>
        <w:t xml:space="preserve">Less common than with MT-II due to MC1R selectivity; transient when reported.</w:t>
      </w:r>
    </w:p>
    <w:p>
      <w:pPr>
        <w:pStyle w:val="ListParagraph"/>
        <w:numPr>
          <w:ilvl w:val="0"/>
          <w:numId w:val="2"/>
        </w:numPr>
        <w:spacing w:after="80" w:line="300"/>
      </w:pPr>
      <w:r>
        <w:rPr>
          <w:rFonts w:ascii="Arial" w:cs="Arial" w:eastAsia="Arial" w:hAnsi="Arial"/>
          <w:b/>
          <w:bCs/>
          <w:color w:val="CC0000"/>
          <w:sz w:val="22"/>
          <w:szCs w:val="22"/>
        </w:rPr>
        <w:t xml:space="preserve">Facial Flushing: </w:t>
      </w:r>
      <w:r>
        <w:rPr>
          <w:rFonts w:ascii="Arial" w:cs="Arial" w:eastAsia="Arial" w:hAnsi="Arial"/>
          <w:color w:val="000000"/>
          <w:sz w:val="22"/>
          <w:szCs w:val="22"/>
        </w:rPr>
        <w:t xml:space="preserve">Possible transient flushing within 30 minutes of injection.</w:t>
      </w:r>
    </w:p>
    <w:p>
      <w:pPr>
        <w:pStyle w:val="ListParagraph"/>
        <w:numPr>
          <w:ilvl w:val="0"/>
          <w:numId w:val="2"/>
        </w:numPr>
        <w:spacing w:after="80" w:line="300"/>
      </w:pPr>
      <w:r>
        <w:rPr>
          <w:rFonts w:ascii="Arial" w:cs="Arial" w:eastAsia="Arial" w:hAnsi="Arial"/>
          <w:b/>
          <w:bCs/>
          <w:color w:val="CC0000"/>
          <w:sz w:val="22"/>
          <w:szCs w:val="22"/>
        </w:rPr>
        <w:t xml:space="preserve">Tanning Response: </w:t>
      </w:r>
      <w:r>
        <w:rPr>
          <w:rFonts w:ascii="Arial" w:cs="Arial" w:eastAsia="Arial" w:hAnsi="Arial"/>
          <w:color w:val="000000"/>
          <w:sz w:val="22"/>
          <w:szCs w:val="22"/>
        </w:rPr>
        <w:t xml:space="preserve">Significantly less appetite suppression than MT-II owing to weak MC4R activity.</w:t>
      </w:r>
    </w:p>
    <w:p>
      <w:pPr>
        <w:pStyle w:val="ListParagraph"/>
        <w:numPr>
          <w:ilvl w:val="0"/>
          <w:numId w:val="2"/>
        </w:numPr>
        <w:spacing w:after="80" w:line="300"/>
      </w:pPr>
      <w:r>
        <w:rPr>
          <w:rFonts w:ascii="Arial" w:cs="Arial" w:eastAsia="Arial" w:hAnsi="Arial"/>
          <w:b/>
          <w:bCs/>
          <w:color w:val="CC0000"/>
          <w:sz w:val="22"/>
          <w:szCs w:val="22"/>
        </w:rPr>
        <w:t xml:space="preserve">Mole Changes: </w:t>
      </w:r>
      <w:r>
        <w:rPr>
          <w:rFonts w:ascii="Arial" w:cs="Arial" w:eastAsia="Arial" w:hAnsi="Arial"/>
          <w:color w:val="000000"/>
          <w:sz w:val="22"/>
          <w:szCs w:val="22"/>
        </w:rPr>
        <w:t xml:space="preserve">Darkening of existing pigmented lesions; periodic dermatological monitoring recommended during use.</w:t>
      </w:r>
    </w:p>
    <w:p>
      <w:pPr>
        <w:pStyle w:val="ListParagraph"/>
        <w:numPr>
          <w:ilvl w:val="0"/>
          <w:numId w:val="2"/>
        </w:numPr>
        <w:spacing w:after="80" w:line="300"/>
      </w:pPr>
      <w:r>
        <w:rPr>
          <w:rFonts w:ascii="Arial" w:cs="Arial" w:eastAsia="Arial" w:hAnsi="Arial"/>
          <w:b/>
          <w:bCs/>
          <w:color w:val="CC0000"/>
          <w:sz w:val="22"/>
          <w:szCs w:val="22"/>
        </w:rPr>
        <w:t xml:space="preserve">Fatigue: </w:t>
      </w:r>
      <w:r>
        <w:rPr>
          <w:rFonts w:ascii="Arial" w:cs="Arial" w:eastAsia="Arial" w:hAnsi="Arial"/>
          <w:color w:val="000000"/>
          <w:sz w:val="22"/>
          <w:szCs w:val="22"/>
        </w:rPr>
        <w:t xml:space="preserve">Mild drowsiness reported in a minority of subjects.</w:t>
      </w:r>
    </w:p>
    <w:p>
      <w:pPr>
        <w:pStyle w:val="ListParagraph"/>
        <w:numPr>
          <w:ilvl w:val="0"/>
          <w:numId w:val="2"/>
        </w:numPr>
        <w:spacing w:after="80" w:line="300"/>
      </w:pPr>
      <w:r>
        <w:rPr>
          <w:rFonts w:ascii="Arial" w:cs="Arial" w:eastAsia="Arial" w:hAnsi="Arial"/>
          <w:b/>
          <w:bCs/>
          <w:color w:val="CC0000"/>
          <w:sz w:val="22"/>
          <w:szCs w:val="22"/>
        </w:rPr>
        <w:t xml:space="preserve">Cardiovascular: </w:t>
      </w:r>
      <w:r>
        <w:rPr>
          <w:rFonts w:ascii="Arial" w:cs="Arial" w:eastAsia="Arial" w:hAnsi="Arial"/>
          <w:color w:val="000000"/>
          <w:sz w:val="22"/>
          <w:szCs w:val="22"/>
        </w:rPr>
        <w:t xml:space="preserve">Generally well tolerated; minor heart rate or blood pressure changes occasionally reported.</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Personal or family history of melanoma or atypical mole syndrome. Active hepatic or renal disease per Scenesse labeling. Pregnancy not recommended.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Lim HW, Grimes PE, Agbai O, et al. Afamelanotide and narrowband UV-B phototherapy for the treatment of vitiligo. JAMA Dermatology. 2015;151(1):42-50.</w:t>
      </w:r>
    </w:p>
    <w:p>
      <w:pPr>
        <w:pStyle w:val="ListParagraph"/>
        <w:numPr>
          <w:ilvl w:val="0"/>
          <w:numId w:val="3"/>
        </w:numPr>
        <w:spacing w:after="80" w:line="300"/>
      </w:pPr>
      <w:r>
        <w:rPr>
          <w:rFonts w:ascii="Arial" w:cs="Arial" w:eastAsia="Arial" w:hAnsi="Arial"/>
          <w:color w:val="000000"/>
          <w:sz w:val="20"/>
          <w:szCs w:val="20"/>
        </w:rPr>
        <w:t xml:space="preserve">Langendonk JG, Balwani M, Anderson KE, et al. Afamelanotide for Erythropoietic Protoporphyria. New England Journal of Medicine. 2015;373(1):48-59.</w:t>
      </w:r>
    </w:p>
    <w:p>
      <w:pPr>
        <w:pStyle w:val="ListParagraph"/>
        <w:numPr>
          <w:ilvl w:val="0"/>
          <w:numId w:val="3"/>
        </w:numPr>
        <w:spacing w:after="80" w:line="300"/>
      </w:pPr>
      <w:r>
        <w:rPr>
          <w:rFonts w:ascii="Arial" w:cs="Arial" w:eastAsia="Arial" w:hAnsi="Arial"/>
          <w:color w:val="000000"/>
          <w:sz w:val="20"/>
          <w:szCs w:val="20"/>
        </w:rPr>
        <w:t xml:space="preserve">Minder EI, Schneider-Yin X, Steurer J, Bachmann LM. A systematic review of treatment options for dermal photosensitivity in erythropoietic protoporphyria. Cellular and Molecular Biology. 2009;55(1):84-97.</w:t>
      </w:r>
    </w:p>
    <w:p>
      <w:pPr>
        <w:pStyle w:val="ListParagraph"/>
        <w:numPr>
          <w:ilvl w:val="0"/>
          <w:numId w:val="3"/>
        </w:numPr>
        <w:spacing w:after="80" w:line="300"/>
      </w:pPr>
      <w:r>
        <w:rPr>
          <w:rFonts w:ascii="Arial" w:cs="Arial" w:eastAsia="Arial" w:hAnsi="Arial"/>
          <w:color w:val="000000"/>
          <w:sz w:val="20"/>
          <w:szCs w:val="20"/>
        </w:rPr>
        <w:t xml:space="preserve">Hruby VJ, Wilkes BC, Hadley ME, et al. α-Melanotropin: the minimal active sequence in the frog skin bioassay. Journal of Medicinal Chemistry. 1987;30(11):2126-2130.</w:t>
      </w:r>
    </w:p>
    <w:p>
      <w:pPr>
        <w:pStyle w:val="ListParagraph"/>
        <w:numPr>
          <w:ilvl w:val="0"/>
          <w:numId w:val="3"/>
        </w:numPr>
        <w:spacing w:after="80" w:line="300"/>
      </w:pPr>
      <w:r>
        <w:rPr>
          <w:rFonts w:ascii="Arial" w:cs="Arial" w:eastAsia="Arial" w:hAnsi="Arial"/>
          <w:color w:val="000000"/>
          <w:sz w:val="20"/>
          <w:szCs w:val="20"/>
        </w:rPr>
        <w:t xml:space="preserve">Sawyer TK, Sanfilippo PJ, Hruby VJ, et al. 4-Norleucine, 7-D-phenylalanine-α-melanocyte-stimulating hormone: a highly potent α-melanotropin with ultralong biological activity. PNAS. 1980;77(10):5754-5758.</w:t>
      </w:r>
    </w:p>
    <w:p>
      <w:pPr>
        <w:pStyle w:val="ListParagraph"/>
        <w:numPr>
          <w:ilvl w:val="0"/>
          <w:numId w:val="3"/>
        </w:numPr>
        <w:spacing w:after="80" w:line="300"/>
      </w:pPr>
      <w:r>
        <w:rPr>
          <w:rFonts w:ascii="Arial" w:cs="Arial" w:eastAsia="Arial" w:hAnsi="Arial"/>
          <w:color w:val="000000"/>
          <w:sz w:val="20"/>
          <w:szCs w:val="20"/>
        </w:rPr>
        <w:t xml:space="preserve">Wolgemuth A, Caccavale L, Sanfilippo P. Afamelanotide: an evidence-based review of its clinical utility in the treatment of erythropoietic protoporphyria. Drug Design, Development and Therapy. 2020;14:213-226.</w:t>
      </w:r>
    </w:p>
    <w:p>
      <w:pPr>
        <w:pStyle w:val="ListParagraph"/>
        <w:numPr>
          <w:ilvl w:val="0"/>
          <w:numId w:val="3"/>
        </w:numPr>
        <w:spacing w:after="80" w:line="300"/>
      </w:pPr>
      <w:r>
        <w:rPr>
          <w:rFonts w:ascii="Arial" w:cs="Arial" w:eastAsia="Arial" w:hAnsi="Arial"/>
          <w:color w:val="000000"/>
          <w:sz w:val="20"/>
          <w:szCs w:val="20"/>
        </w:rPr>
        <w:t xml:space="preserve">Cone RD. Studies on the Physiological Functions of the Melanocortin System. Endocrine Reviews. 2006;27(7):736-749.</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Melanotan I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Melanotan I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Melanotan I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2026-03-28T14:18:09.500Z</dcterms:created>
  <dcterms:modified xsi:type="dcterms:W3CDTF">2026-03-28T14:18:09.500Z</dcterms:modified>
</cp:coreProperties>
</file>

<file path=docProps/custom.xml><?xml version="1.0" encoding="utf-8"?>
<Properties xmlns="http://schemas.openxmlformats.org/officeDocument/2006/custom-properties" xmlns:vt="http://schemas.openxmlformats.org/officeDocument/2006/docPropsVTypes"/>
</file>