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Tesamorelin</w:t>
      </w:r>
    </w:p>
    <w:p>
      <w:pPr>
        <w:pBdr>
          <w:bottom w:val="single" w:color="CC0000" w:sz="6" w:space="8"/>
        </w:pBdr>
        <w:spacing w:after="100"/>
        <w:jc w:val="center"/>
      </w:pPr>
      <w:r>
        <w:rPr>
          <w:rFonts w:ascii="Arial" w:cs="Arial" w:eastAsia="Arial" w:hAnsi="Arial"/>
          <w:color w:val="555555"/>
          <w:sz w:val="22"/>
          <w:szCs w:val="22"/>
        </w:rPr>
        <w:t xml:space="preserve">Growth Hormone-Releasing Factor Analog | GHRH(1-44) Amide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Tesamorelin (Egrifta / TH9507)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Growth Hormone-Releasing Hormone (GHRH) Analog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Trans-3-hexenoic acid modified hGRF(1-44)NH2 (44 amino acids)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C221H366N72O67S1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5135.9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218949-48-5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26-38 minutes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2-8C,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FDA-approved (lipodystrophy); additional clinical trials ongoing</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Tesamorelin is a synthetic analog of human growth hormone-releasing hormone (GHRH) consisting of all 44 amino acids of endogenous GHRH with a trans-3-hexenoic acid modification at the N-terminus. This modification enhances stability and bioavailability while preserving full biological activity at the GHRH receptor.</w:t>
      </w:r>
    </w:p>
    <w:p>
      <w:pPr>
        <w:spacing w:after="160" w:line="300"/>
      </w:pPr>
      <w:r>
        <w:rPr>
          <w:rFonts w:ascii="Arial" w:cs="Arial" w:eastAsia="Arial" w:hAnsi="Arial"/>
          <w:color w:val="000000"/>
          <w:sz w:val="22"/>
          <w:szCs w:val="22"/>
        </w:rPr>
        <w:t xml:space="preserve">Originally developed by Theratechnologies Inc. and approved by the FDA in 2010 under the brand name Egrifta, Tesamorelin stimulates the anterior pituitary gland to synthesize and release growth hormone (GH) in a physiological pulsatile manner. Unlike direct GH administration, Tesamorelin preserves the natural hypothalamic-pituitary feedback loop, resulting in more physiological GH and IGF-1 levels with a lower risk of supraphysiological spikes.</w:t>
      </w:r>
    </w:p>
    <w:p>
      <w:pPr>
        <w:spacing w:after="160" w:line="300"/>
      </w:pPr>
      <w:r>
        <w:rPr>
          <w:rFonts w:ascii="Arial" w:cs="Arial" w:eastAsia="Arial" w:hAnsi="Arial"/>
          <w:color w:val="000000"/>
          <w:sz w:val="22"/>
          <w:szCs w:val="22"/>
        </w:rPr>
        <w:t xml:space="preserve">Tesamorelin has gained significant research interest beyond its approved indication for HIV-associated lipodystrophy, particularly in the areas of visceral adiposity reduction, cognitive preservation, hepatic fat reduction, and metabolic health optimization.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GHRH Receptor Activation</w:t>
      </w:r>
    </w:p>
    <w:p>
      <w:pPr>
        <w:spacing w:after="160" w:line="300"/>
      </w:pPr>
      <w:r>
        <w:rPr>
          <w:rFonts w:ascii="Arial" w:cs="Arial" w:eastAsia="Arial" w:hAnsi="Arial"/>
          <w:color w:val="000000"/>
          <w:sz w:val="22"/>
          <w:szCs w:val="22"/>
        </w:rPr>
        <w:t xml:space="preserve">Tesamorelin binds to and activates the GHRH receptor (GHRHR) on somatotroph cells of the anterior pituitary. This triggers a Gs-protein coupled signaling cascade that increases intracellular cAMP, activating protein kinase A (PKA) and stimulating both GH gene transcription and GH vesicle exocytosis. The result is a robust, pulsatile release of endogenous growth hormone.</w:t>
      </w:r>
    </w:p>
    <w:p>
      <w:pPr>
        <w:pStyle w:val="Heading2"/>
      </w:pPr>
      <w:r>
        <w:rPr>
          <w:rFonts w:ascii="Arial" w:cs="Arial" w:eastAsia="Arial" w:hAnsi="Arial"/>
          <w:b/>
          <w:bCs/>
          <w:color w:val="CC0000"/>
          <w:sz w:val="28"/>
          <w:szCs w:val="28"/>
        </w:rPr>
        <w:t xml:space="preserve">Pulsatile GH Secretion</w:t>
      </w:r>
    </w:p>
    <w:p>
      <w:pPr>
        <w:spacing w:after="160" w:line="300"/>
      </w:pPr>
      <w:r>
        <w:rPr>
          <w:rFonts w:ascii="Arial" w:cs="Arial" w:eastAsia="Arial" w:hAnsi="Arial"/>
          <w:color w:val="000000"/>
          <w:sz w:val="22"/>
          <w:szCs w:val="22"/>
        </w:rPr>
        <w:t xml:space="preserve">Unlike exogenous GH injection which creates a single pharmacological spike, Tesamorelin stimulates natural pulsatile GH release that follows circadian patterns. This preserves negative feedback through somatostatin and IGF-1, maintaining physiological regulation and reducing the risk of GH excess-related side effects.</w:t>
      </w:r>
    </w:p>
    <w:p>
      <w:pPr>
        <w:pStyle w:val="Heading2"/>
      </w:pPr>
      <w:r>
        <w:rPr>
          <w:rFonts w:ascii="Arial" w:cs="Arial" w:eastAsia="Arial" w:hAnsi="Arial"/>
          <w:b/>
          <w:bCs/>
          <w:color w:val="CC0000"/>
          <w:sz w:val="28"/>
          <w:szCs w:val="28"/>
        </w:rPr>
        <w:t xml:space="preserve">IGF-1 Axis Stimulation</w:t>
      </w:r>
    </w:p>
    <w:p>
      <w:pPr>
        <w:spacing w:after="160" w:line="300"/>
      </w:pPr>
      <w:r>
        <w:rPr>
          <w:rFonts w:ascii="Arial" w:cs="Arial" w:eastAsia="Arial" w:hAnsi="Arial"/>
          <w:color w:val="000000"/>
          <w:sz w:val="22"/>
          <w:szCs w:val="22"/>
        </w:rPr>
        <w:t xml:space="preserve">The GH released in response to Tesamorelin stimulates hepatic production of insulin-like growth factor-1 (IGF-1) and its binding proteins (IGFBPs). IGF-1 mediates many of GH's anabolic, lipolytic, and tissue-repair effects throughout the body. Tesamorelin raises IGF-1 levels within the normal physiological range.</w:t>
      </w:r>
    </w:p>
    <w:p>
      <w:pPr>
        <w:pStyle w:val="Heading2"/>
      </w:pPr>
      <w:r>
        <w:rPr>
          <w:rFonts w:ascii="Arial" w:cs="Arial" w:eastAsia="Arial" w:hAnsi="Arial"/>
          <w:b/>
          <w:bCs/>
          <w:color w:val="CC0000"/>
          <w:sz w:val="28"/>
          <w:szCs w:val="28"/>
        </w:rPr>
        <w:t xml:space="preserve">Lipolytic Signaling</w:t>
      </w:r>
    </w:p>
    <w:p>
      <w:pPr>
        <w:spacing w:after="160" w:line="300"/>
      </w:pPr>
      <w:r>
        <w:rPr>
          <w:rFonts w:ascii="Arial" w:cs="Arial" w:eastAsia="Arial" w:hAnsi="Arial"/>
          <w:color w:val="000000"/>
          <w:sz w:val="22"/>
          <w:szCs w:val="22"/>
        </w:rPr>
        <w:t xml:space="preserve">GH released by Tesamorelin activates hormone-sensitive lipase (HSL) in adipose tissue, particularly visceral adipose tissue (VAT). This promotes triglyceride hydrolysis and fatty acid mobilization. Visceral fat is preferentially targeted due to its higher density of GH receptors and beta-adrenergic sensitivity compared to subcutaneous fat.</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Visceral Fat Reduction</w:t>
      </w:r>
    </w:p>
    <w:p>
      <w:pPr>
        <w:pStyle w:val="ListParagraph"/>
        <w:numPr>
          <w:ilvl w:val="0"/>
          <w:numId w:val="2"/>
        </w:numPr>
        <w:spacing w:after="80" w:line="300"/>
      </w:pPr>
      <w:r>
        <w:rPr>
          <w:rFonts w:ascii="Arial" w:cs="Arial" w:eastAsia="Arial" w:hAnsi="Arial"/>
          <w:b/>
          <w:bCs/>
          <w:color w:val="CC0000"/>
          <w:sz w:val="22"/>
          <w:szCs w:val="22"/>
        </w:rPr>
        <w:t xml:space="preserve">Visceral Adipose Tissue: </w:t>
      </w:r>
      <w:r>
        <w:rPr>
          <w:rFonts w:ascii="Arial" w:cs="Arial" w:eastAsia="Arial" w:hAnsi="Arial"/>
          <w:color w:val="000000"/>
          <w:sz w:val="22"/>
          <w:szCs w:val="22"/>
        </w:rPr>
        <w:t xml:space="preserve">Clinical trials demonstrate 15-20% reduction in visceral adipose tissue (VAT) after 26 weeks of treatment.</w:t>
      </w:r>
    </w:p>
    <w:p>
      <w:pPr>
        <w:pStyle w:val="ListParagraph"/>
        <w:numPr>
          <w:ilvl w:val="0"/>
          <w:numId w:val="2"/>
        </w:numPr>
        <w:spacing w:after="80" w:line="300"/>
      </w:pPr>
      <w:r>
        <w:rPr>
          <w:rFonts w:ascii="Arial" w:cs="Arial" w:eastAsia="Arial" w:hAnsi="Arial"/>
          <w:b/>
          <w:bCs/>
          <w:color w:val="CC0000"/>
          <w:sz w:val="22"/>
          <w:szCs w:val="22"/>
        </w:rPr>
        <w:t xml:space="preserve">Trunk Fat: </w:t>
      </w:r>
      <w:r>
        <w:rPr>
          <w:rFonts w:ascii="Arial" w:cs="Arial" w:eastAsia="Arial" w:hAnsi="Arial"/>
          <w:color w:val="000000"/>
          <w:sz w:val="22"/>
          <w:szCs w:val="22"/>
        </w:rPr>
        <w:t xml:space="preserve">Significant reduction in trunk fat mass as measured by DEXA and CT imaging.</w:t>
      </w:r>
    </w:p>
    <w:p>
      <w:pPr>
        <w:pStyle w:val="ListParagraph"/>
        <w:numPr>
          <w:ilvl w:val="0"/>
          <w:numId w:val="2"/>
        </w:numPr>
        <w:spacing w:after="80" w:line="300"/>
      </w:pPr>
      <w:r>
        <w:rPr>
          <w:rFonts w:ascii="Arial" w:cs="Arial" w:eastAsia="Arial" w:hAnsi="Arial"/>
          <w:b/>
          <w:bCs/>
          <w:color w:val="CC0000"/>
          <w:sz w:val="22"/>
          <w:szCs w:val="22"/>
        </w:rPr>
        <w:t xml:space="preserve">Waist Circumference: </w:t>
      </w:r>
      <w:r>
        <w:rPr>
          <w:rFonts w:ascii="Arial" w:cs="Arial" w:eastAsia="Arial" w:hAnsi="Arial"/>
          <w:color w:val="000000"/>
          <w:sz w:val="22"/>
          <w:szCs w:val="22"/>
        </w:rPr>
        <w:t xml:space="preserve">Measurable decreases in waist circumference and waist-to-hip ratio.</w:t>
      </w:r>
    </w:p>
    <w:p>
      <w:pPr>
        <w:pStyle w:val="ListParagraph"/>
        <w:numPr>
          <w:ilvl w:val="0"/>
          <w:numId w:val="2"/>
        </w:numPr>
        <w:spacing w:after="80" w:line="300"/>
      </w:pPr>
      <w:r>
        <w:rPr>
          <w:rFonts w:ascii="Arial" w:cs="Arial" w:eastAsia="Arial" w:hAnsi="Arial"/>
          <w:b/>
          <w:bCs/>
          <w:color w:val="CC0000"/>
          <w:sz w:val="22"/>
          <w:szCs w:val="22"/>
        </w:rPr>
        <w:t xml:space="preserve">Selective Lipolysis: </w:t>
      </w:r>
      <w:r>
        <w:rPr>
          <w:rFonts w:ascii="Arial" w:cs="Arial" w:eastAsia="Arial" w:hAnsi="Arial"/>
          <w:color w:val="000000"/>
          <w:sz w:val="22"/>
          <w:szCs w:val="22"/>
        </w:rPr>
        <w:t xml:space="preserve">Preferentially targets visceral fat over subcutaneous fat, improving metabolic risk profile.</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Lipid Profile: </w:t>
      </w:r>
      <w:r>
        <w:rPr>
          <w:rFonts w:ascii="Arial" w:cs="Arial" w:eastAsia="Arial" w:hAnsi="Arial"/>
          <w:color w:val="000000"/>
          <w:sz w:val="22"/>
          <w:szCs w:val="22"/>
        </w:rPr>
        <w:t xml:space="preserve">Reduces triglycerides and improves HDL-to-total cholesterol ratio in clinical studies.</w:t>
      </w:r>
    </w:p>
    <w:p>
      <w:pPr>
        <w:pStyle w:val="ListParagraph"/>
        <w:numPr>
          <w:ilvl w:val="0"/>
          <w:numId w:val="2"/>
        </w:numPr>
        <w:spacing w:after="80" w:line="300"/>
      </w:pPr>
      <w:r>
        <w:rPr>
          <w:rFonts w:ascii="Arial" w:cs="Arial" w:eastAsia="Arial" w:hAnsi="Arial"/>
          <w:b/>
          <w:bCs/>
          <w:color w:val="CC0000"/>
          <w:sz w:val="22"/>
          <w:szCs w:val="22"/>
        </w:rPr>
        <w:t xml:space="preserve">Adipokine Regulation: </w:t>
      </w:r>
      <w:r>
        <w:rPr>
          <w:rFonts w:ascii="Arial" w:cs="Arial" w:eastAsia="Arial" w:hAnsi="Arial"/>
          <w:color w:val="000000"/>
          <w:sz w:val="22"/>
          <w:szCs w:val="22"/>
        </w:rPr>
        <w:t xml:space="preserve">Improves adiponectin levels and reduces inflammatory adipokines associated with visceral obesity.</w:t>
      </w:r>
    </w:p>
    <w:p>
      <w:pPr>
        <w:pStyle w:val="ListParagraph"/>
        <w:numPr>
          <w:ilvl w:val="0"/>
          <w:numId w:val="2"/>
        </w:numPr>
        <w:spacing w:after="80" w:line="300"/>
      </w:pPr>
      <w:r>
        <w:rPr>
          <w:rFonts w:ascii="Arial" w:cs="Arial" w:eastAsia="Arial" w:hAnsi="Arial"/>
          <w:b/>
          <w:bCs/>
          <w:color w:val="CC0000"/>
          <w:sz w:val="22"/>
          <w:szCs w:val="22"/>
        </w:rPr>
        <w:t xml:space="preserve">Cardiovascular Markers: </w:t>
      </w:r>
      <w:r>
        <w:rPr>
          <w:rFonts w:ascii="Arial" w:cs="Arial" w:eastAsia="Arial" w:hAnsi="Arial"/>
          <w:color w:val="000000"/>
          <w:sz w:val="22"/>
          <w:szCs w:val="22"/>
        </w:rPr>
        <w:t xml:space="preserve">Reductions in C-reactive protein (CRP) and inflammatory biomarkers associated with cardiometabolic risk.</w:t>
      </w:r>
    </w:p>
    <w:p>
      <w:pPr>
        <w:pStyle w:val="Heading2"/>
      </w:pPr>
      <w:r>
        <w:rPr>
          <w:rFonts w:ascii="Arial" w:cs="Arial" w:eastAsia="Arial" w:hAnsi="Arial"/>
          <w:b/>
          <w:bCs/>
          <w:color w:val="CC0000"/>
          <w:sz w:val="28"/>
          <w:szCs w:val="28"/>
        </w:rPr>
        <w:t xml:space="preserve">Hepatic Fat &amp; NAFLD</w:t>
      </w:r>
    </w:p>
    <w:p>
      <w:pPr>
        <w:pStyle w:val="ListParagraph"/>
        <w:numPr>
          <w:ilvl w:val="0"/>
          <w:numId w:val="2"/>
        </w:numPr>
        <w:spacing w:after="80" w:line="300"/>
      </w:pPr>
      <w:r>
        <w:rPr>
          <w:rFonts w:ascii="Arial" w:cs="Arial" w:eastAsia="Arial" w:hAnsi="Arial"/>
          <w:b/>
          <w:bCs/>
          <w:color w:val="CC0000"/>
          <w:sz w:val="22"/>
          <w:szCs w:val="22"/>
        </w:rPr>
        <w:t xml:space="preserve">Liver Fat Reduction: </w:t>
      </w:r>
      <w:r>
        <w:rPr>
          <w:rFonts w:ascii="Arial" w:cs="Arial" w:eastAsia="Arial" w:hAnsi="Arial"/>
          <w:color w:val="000000"/>
          <w:sz w:val="22"/>
          <w:szCs w:val="22"/>
        </w:rPr>
        <w:t xml:space="preserve">LIRA (Liver in HIV-Associated Lipodystrophy) study showed significant reduction in hepatic fat fraction by MRI.</w:t>
      </w:r>
    </w:p>
    <w:p>
      <w:pPr>
        <w:pStyle w:val="ListParagraph"/>
        <w:numPr>
          <w:ilvl w:val="0"/>
          <w:numId w:val="2"/>
        </w:numPr>
        <w:spacing w:after="80" w:line="300"/>
      </w:pPr>
      <w:r>
        <w:rPr>
          <w:rFonts w:ascii="Arial" w:cs="Arial" w:eastAsia="Arial" w:hAnsi="Arial"/>
          <w:b/>
          <w:bCs/>
          <w:color w:val="CC0000"/>
          <w:sz w:val="22"/>
          <w:szCs w:val="22"/>
        </w:rPr>
        <w:t xml:space="preserve">NASH Improvement: </w:t>
      </w:r>
      <w:r>
        <w:rPr>
          <w:rFonts w:ascii="Arial" w:cs="Arial" w:eastAsia="Arial" w:hAnsi="Arial"/>
          <w:color w:val="000000"/>
          <w:sz w:val="22"/>
          <w:szCs w:val="22"/>
        </w:rPr>
        <w:t xml:space="preserve">Research demonstrates improvements in non-alcoholic steatohepatitis (NASH) histology markers.</w:t>
      </w:r>
    </w:p>
    <w:p>
      <w:pPr>
        <w:pStyle w:val="ListParagraph"/>
        <w:numPr>
          <w:ilvl w:val="0"/>
          <w:numId w:val="2"/>
        </w:numPr>
        <w:spacing w:after="80" w:line="300"/>
      </w:pPr>
      <w:r>
        <w:rPr>
          <w:rFonts w:ascii="Arial" w:cs="Arial" w:eastAsia="Arial" w:hAnsi="Arial"/>
          <w:b/>
          <w:bCs/>
          <w:color w:val="CC0000"/>
          <w:sz w:val="22"/>
          <w:szCs w:val="22"/>
        </w:rPr>
        <w:t xml:space="preserve">Liver Enzymes: </w:t>
      </w:r>
      <w:r>
        <w:rPr>
          <w:rFonts w:ascii="Arial" w:cs="Arial" w:eastAsia="Arial" w:hAnsi="Arial"/>
          <w:color w:val="000000"/>
          <w:sz w:val="22"/>
          <w:szCs w:val="22"/>
        </w:rPr>
        <w:t xml:space="preserve">Reductions in ALT and markers of hepatic inflammation in subjects with elevated baseline levels.</w:t>
      </w:r>
    </w:p>
    <w:p>
      <w:pPr>
        <w:pStyle w:val="Heading2"/>
      </w:pPr>
      <w:r>
        <w:rPr>
          <w:rFonts w:ascii="Arial" w:cs="Arial" w:eastAsia="Arial" w:hAnsi="Arial"/>
          <w:b/>
          <w:bCs/>
          <w:color w:val="CC0000"/>
          <w:sz w:val="28"/>
          <w:szCs w:val="28"/>
        </w:rPr>
        <w:t xml:space="preserve">Cognitive Function &amp; Neuroprotection</w:t>
      </w:r>
    </w:p>
    <w:p>
      <w:pPr>
        <w:pStyle w:val="ListParagraph"/>
        <w:numPr>
          <w:ilvl w:val="0"/>
          <w:numId w:val="2"/>
        </w:numPr>
        <w:spacing w:after="80" w:line="300"/>
      </w:pPr>
      <w:r>
        <w:rPr>
          <w:rFonts w:ascii="Arial" w:cs="Arial" w:eastAsia="Arial" w:hAnsi="Arial"/>
          <w:b/>
          <w:bCs/>
          <w:color w:val="CC0000"/>
          <w:sz w:val="22"/>
          <w:szCs w:val="22"/>
        </w:rPr>
        <w:t xml:space="preserve">Cognitive Preservation: </w:t>
      </w:r>
      <w:r>
        <w:rPr>
          <w:rFonts w:ascii="Arial" w:cs="Arial" w:eastAsia="Arial" w:hAnsi="Arial"/>
          <w:color w:val="000000"/>
          <w:sz w:val="22"/>
          <w:szCs w:val="22"/>
        </w:rPr>
        <w:t xml:space="preserve">Studies in older adults show protective effects on executive function, verbal memory, and processing speed.</w:t>
      </w:r>
    </w:p>
    <w:p>
      <w:pPr>
        <w:pStyle w:val="ListParagraph"/>
        <w:numPr>
          <w:ilvl w:val="0"/>
          <w:numId w:val="2"/>
        </w:numPr>
        <w:spacing w:after="80" w:line="300"/>
      </w:pPr>
      <w:r>
        <w:rPr>
          <w:rFonts w:ascii="Arial" w:cs="Arial" w:eastAsia="Arial" w:hAnsi="Arial"/>
          <w:b/>
          <w:bCs/>
          <w:color w:val="CC0000"/>
          <w:sz w:val="22"/>
          <w:szCs w:val="22"/>
        </w:rPr>
        <w:t xml:space="preserve">Amyloid-Beta Clearance: </w:t>
      </w:r>
      <w:r>
        <w:rPr>
          <w:rFonts w:ascii="Arial" w:cs="Arial" w:eastAsia="Arial" w:hAnsi="Arial"/>
          <w:color w:val="000000"/>
          <w:sz w:val="22"/>
          <w:szCs w:val="22"/>
        </w:rPr>
        <w:t xml:space="preserve">Research suggests enhanced clearance of amyloid-beta and reduced neuroinflammation.</w:t>
      </w:r>
    </w:p>
    <w:p>
      <w:pPr>
        <w:pStyle w:val="ListParagraph"/>
        <w:numPr>
          <w:ilvl w:val="0"/>
          <w:numId w:val="2"/>
        </w:numPr>
        <w:spacing w:after="80" w:line="300"/>
      </w:pPr>
      <w:r>
        <w:rPr>
          <w:rFonts w:ascii="Arial" w:cs="Arial" w:eastAsia="Arial" w:hAnsi="Arial"/>
          <w:b/>
          <w:bCs/>
          <w:color w:val="CC0000"/>
          <w:sz w:val="22"/>
          <w:szCs w:val="22"/>
        </w:rPr>
        <w:t xml:space="preserve">Brain Structure: </w:t>
      </w:r>
      <w:r>
        <w:rPr>
          <w:rFonts w:ascii="Arial" w:cs="Arial" w:eastAsia="Arial" w:hAnsi="Arial"/>
          <w:color w:val="000000"/>
          <w:sz w:val="22"/>
          <w:szCs w:val="22"/>
        </w:rPr>
        <w:t xml:space="preserve">MRI studies show preservation of cortical thickness in regions vulnerable to age-related atrophy.</w:t>
      </w:r>
    </w:p>
    <w:p>
      <w:pPr>
        <w:pStyle w:val="Heading2"/>
      </w:pPr>
      <w:r>
        <w:rPr>
          <w:rFonts w:ascii="Arial" w:cs="Arial" w:eastAsia="Arial" w:hAnsi="Arial"/>
          <w:b/>
          <w:bCs/>
          <w:color w:val="CC0000"/>
          <w:sz w:val="28"/>
          <w:szCs w:val="28"/>
        </w:rPr>
        <w:t xml:space="preserve">Body Composition &amp; Physical Performance</w:t>
      </w:r>
    </w:p>
    <w:p>
      <w:pPr>
        <w:pStyle w:val="ListParagraph"/>
        <w:numPr>
          <w:ilvl w:val="0"/>
          <w:numId w:val="2"/>
        </w:numPr>
        <w:spacing w:after="80" w:line="300"/>
      </w:pPr>
      <w:r>
        <w:rPr>
          <w:rFonts w:ascii="Arial" w:cs="Arial" w:eastAsia="Arial" w:hAnsi="Arial"/>
          <w:b/>
          <w:bCs/>
          <w:color w:val="CC0000"/>
          <w:sz w:val="22"/>
          <w:szCs w:val="22"/>
        </w:rPr>
        <w:t xml:space="preserve">Lean Body Mass: </w:t>
      </w:r>
      <w:r>
        <w:rPr>
          <w:rFonts w:ascii="Arial" w:cs="Arial" w:eastAsia="Arial" w:hAnsi="Arial"/>
          <w:color w:val="000000"/>
          <w:sz w:val="22"/>
          <w:szCs w:val="22"/>
        </w:rPr>
        <w:t xml:space="preserve">Modest increases in lean body mass alongside visceral fat reduction.</w:t>
      </w:r>
    </w:p>
    <w:p>
      <w:pPr>
        <w:pStyle w:val="ListParagraph"/>
        <w:numPr>
          <w:ilvl w:val="0"/>
          <w:numId w:val="2"/>
        </w:numPr>
        <w:spacing w:after="80" w:line="300"/>
      </w:pPr>
      <w:r>
        <w:rPr>
          <w:rFonts w:ascii="Arial" w:cs="Arial" w:eastAsia="Arial" w:hAnsi="Arial"/>
          <w:b/>
          <w:bCs/>
          <w:color w:val="CC0000"/>
          <w:sz w:val="22"/>
          <w:szCs w:val="22"/>
        </w:rPr>
        <w:t xml:space="preserve">IGF-1 Normalization: </w:t>
      </w:r>
      <w:r>
        <w:rPr>
          <w:rFonts w:ascii="Arial" w:cs="Arial" w:eastAsia="Arial" w:hAnsi="Arial"/>
          <w:color w:val="000000"/>
          <w:sz w:val="22"/>
          <w:szCs w:val="22"/>
        </w:rPr>
        <w:t xml:space="preserve">Restores age-related decline in GH/IGF-1 axis toward youthful physiological levels.</w:t>
      </w:r>
    </w:p>
    <w:p>
      <w:pPr>
        <w:pStyle w:val="ListParagraph"/>
        <w:numPr>
          <w:ilvl w:val="0"/>
          <w:numId w:val="2"/>
        </w:numPr>
        <w:spacing w:after="80" w:line="300"/>
      </w:pPr>
      <w:r>
        <w:rPr>
          <w:rFonts w:ascii="Arial" w:cs="Arial" w:eastAsia="Arial" w:hAnsi="Arial"/>
          <w:b/>
          <w:bCs/>
          <w:color w:val="CC0000"/>
          <w:sz w:val="22"/>
          <w:szCs w:val="22"/>
        </w:rPr>
        <w:t xml:space="preserve">Bone Density: </w:t>
      </w:r>
      <w:r>
        <w:rPr>
          <w:rFonts w:ascii="Arial" w:cs="Arial" w:eastAsia="Arial" w:hAnsi="Arial"/>
          <w:color w:val="000000"/>
          <w:sz w:val="22"/>
          <w:szCs w:val="22"/>
        </w:rPr>
        <w:t xml:space="preserve">Indirect benefits through IGF-1-mediated osteoblast stimulation and bone turnover.</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FDA-Approved Dose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Low Dose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Research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Once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Cycling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 mg daily x 3-6 months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Then reassess / cycle off</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 (provided with Egrifta)</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2 mL BAC water per vial, inject slowly against wall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Roll gently between palms for 30 seconds,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rotate injection sites daily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Administer at the same time each day, preferably evening/bedtime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Tesamorelin is FDA-approved with an established clinical safety profile: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Well tolerated in clinical trials lasting up to 52 weeks. Most adverse events are mild and transient.</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Most common adverse event; erythema, pruritis, and minor pain at injection site (up to 8% of subjects).</w:t>
      </w:r>
    </w:p>
    <w:p>
      <w:pPr>
        <w:pStyle w:val="ListParagraph"/>
        <w:numPr>
          <w:ilvl w:val="0"/>
          <w:numId w:val="2"/>
        </w:numPr>
        <w:spacing w:after="80" w:line="300"/>
      </w:pPr>
      <w:r>
        <w:rPr>
          <w:rFonts w:ascii="Arial" w:cs="Arial" w:eastAsia="Arial" w:hAnsi="Arial"/>
          <w:b/>
          <w:bCs/>
          <w:color w:val="CC0000"/>
          <w:sz w:val="22"/>
          <w:szCs w:val="22"/>
        </w:rPr>
        <w:t xml:space="preserve">Arthralgia &amp; Myalgia: </w:t>
      </w:r>
      <w:r>
        <w:rPr>
          <w:rFonts w:ascii="Arial" w:cs="Arial" w:eastAsia="Arial" w:hAnsi="Arial"/>
          <w:color w:val="000000"/>
          <w:sz w:val="22"/>
          <w:szCs w:val="22"/>
        </w:rPr>
        <w:t xml:space="preserve">Joint and muscle pain reported in approximately 5-13% of subjects, typically mild and self-limiting.</w:t>
      </w:r>
    </w:p>
    <w:p>
      <w:pPr>
        <w:pStyle w:val="ListParagraph"/>
        <w:numPr>
          <w:ilvl w:val="0"/>
          <w:numId w:val="2"/>
        </w:numPr>
        <w:spacing w:after="80" w:line="300"/>
      </w:pPr>
      <w:r>
        <w:rPr>
          <w:rFonts w:ascii="Arial" w:cs="Arial" w:eastAsia="Arial" w:hAnsi="Arial"/>
          <w:b/>
          <w:bCs/>
          <w:color w:val="CC0000"/>
          <w:sz w:val="22"/>
          <w:szCs w:val="22"/>
        </w:rPr>
        <w:t xml:space="preserve">Peripheral Edema: </w:t>
      </w:r>
      <w:r>
        <w:rPr>
          <w:rFonts w:ascii="Arial" w:cs="Arial" w:eastAsia="Arial" w:hAnsi="Arial"/>
          <w:color w:val="000000"/>
          <w:sz w:val="22"/>
          <w:szCs w:val="22"/>
        </w:rPr>
        <w:t xml:space="preserve">Mild fluid retention may occur early in treatment, usually resolving within weeks.</w:t>
      </w:r>
    </w:p>
    <w:p>
      <w:pPr>
        <w:pStyle w:val="ListParagraph"/>
        <w:numPr>
          <w:ilvl w:val="0"/>
          <w:numId w:val="2"/>
        </w:numPr>
        <w:spacing w:after="80" w:line="300"/>
      </w:pPr>
      <w:r>
        <w:rPr>
          <w:rFonts w:ascii="Arial" w:cs="Arial" w:eastAsia="Arial" w:hAnsi="Arial"/>
          <w:b/>
          <w:bCs/>
          <w:color w:val="CC0000"/>
          <w:sz w:val="22"/>
          <w:szCs w:val="22"/>
        </w:rPr>
        <w:t xml:space="preserve">Glucose Metabolism: </w:t>
      </w:r>
      <w:r>
        <w:rPr>
          <w:rFonts w:ascii="Arial" w:cs="Arial" w:eastAsia="Arial" w:hAnsi="Arial"/>
          <w:color w:val="000000"/>
          <w:sz w:val="22"/>
          <w:szCs w:val="22"/>
        </w:rPr>
        <w:t xml:space="preserve">May modestly increase fasting glucose and HbA1c; monitor in pre-diabetic or diabetic individuals.</w:t>
      </w:r>
    </w:p>
    <w:p>
      <w:pPr>
        <w:pStyle w:val="ListParagraph"/>
        <w:numPr>
          <w:ilvl w:val="0"/>
          <w:numId w:val="2"/>
        </w:numPr>
        <w:spacing w:after="80" w:line="300"/>
      </w:pPr>
      <w:r>
        <w:rPr>
          <w:rFonts w:ascii="Arial" w:cs="Arial" w:eastAsia="Arial" w:hAnsi="Arial"/>
          <w:b/>
          <w:bCs/>
          <w:color w:val="CC0000"/>
          <w:sz w:val="22"/>
          <w:szCs w:val="22"/>
        </w:rPr>
        <w:t xml:space="preserve">IGF-1 Monitoring: </w:t>
      </w:r>
      <w:r>
        <w:rPr>
          <w:rFonts w:ascii="Arial" w:cs="Arial" w:eastAsia="Arial" w:hAnsi="Arial"/>
          <w:color w:val="000000"/>
          <w:sz w:val="22"/>
          <w:szCs w:val="22"/>
        </w:rPr>
        <w:t xml:space="preserve">Periodic IGF-1 level monitoring recommended to ensure levels remain within physiological range.</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Active malignancy, disruption of hypothalamic-pituitary axis (surgery, radiation), hypersensitivity to GHRH analogs, pregnancy.</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Falutz J, et al. Metabolic Effects of a Growth Hormone-Releasing Factor in Patients with HIV. New England Journal of Medicine. 2007;357(23):2359-2370.</w:t>
      </w:r>
    </w:p>
    <w:p>
      <w:pPr>
        <w:pStyle w:val="ListParagraph"/>
        <w:numPr>
          <w:ilvl w:val="0"/>
          <w:numId w:val="3"/>
        </w:numPr>
        <w:spacing w:after="80" w:line="300"/>
      </w:pPr>
      <w:r>
        <w:rPr>
          <w:rFonts w:ascii="Arial" w:cs="Arial" w:eastAsia="Arial" w:hAnsi="Arial"/>
          <w:color w:val="000000"/>
          <w:sz w:val="20"/>
          <w:szCs w:val="20"/>
        </w:rPr>
        <w:t xml:space="preserve">Stanley TL, et al. Effect of Tesamorelin on Visceral Fat and Liver Fat in HIV-Infected Patients with Abdominal Fat Accumulation: A Randomized Clinical Trial. JAMA. 2014;312(4):380-389.</w:t>
      </w:r>
    </w:p>
    <w:p>
      <w:pPr>
        <w:pStyle w:val="ListParagraph"/>
        <w:numPr>
          <w:ilvl w:val="0"/>
          <w:numId w:val="3"/>
        </w:numPr>
        <w:spacing w:after="80" w:line="300"/>
      </w:pPr>
      <w:r>
        <w:rPr>
          <w:rFonts w:ascii="Arial" w:cs="Arial" w:eastAsia="Arial" w:hAnsi="Arial"/>
          <w:color w:val="000000"/>
          <w:sz w:val="20"/>
          <w:szCs w:val="20"/>
        </w:rPr>
        <w:t xml:space="preserve">Fourman LT, et al. Tesamorelin Reduces Hepatic Steatosis and Is Associated with Reduced Hepatic Fibrosis in Adults with HIV-Associated NAFLD. Journal of Hepatology. 2021;75(6):1313-1322.</w:t>
      </w:r>
    </w:p>
    <w:p>
      <w:pPr>
        <w:pStyle w:val="ListParagraph"/>
        <w:numPr>
          <w:ilvl w:val="0"/>
          <w:numId w:val="3"/>
        </w:numPr>
        <w:spacing w:after="80" w:line="300"/>
      </w:pPr>
      <w:r>
        <w:rPr>
          <w:rFonts w:ascii="Arial" w:cs="Arial" w:eastAsia="Arial" w:hAnsi="Arial"/>
          <w:color w:val="000000"/>
          <w:sz w:val="20"/>
          <w:szCs w:val="20"/>
        </w:rPr>
        <w:t xml:space="preserve">Baker LD, et al. Effects of Growth Hormone-Releasing Hormone on Cognitive Function in Adults with Mild Cognitive Impairment and Healthy Older Adults. Archives of Neurology. 2012;69(11):1420-1429.</w:t>
      </w:r>
    </w:p>
    <w:p>
      <w:pPr>
        <w:pStyle w:val="ListParagraph"/>
        <w:numPr>
          <w:ilvl w:val="0"/>
          <w:numId w:val="3"/>
        </w:numPr>
        <w:spacing w:after="80" w:line="300"/>
      </w:pPr>
      <w:r>
        <w:rPr>
          <w:rFonts w:ascii="Arial" w:cs="Arial" w:eastAsia="Arial" w:hAnsi="Arial"/>
          <w:color w:val="000000"/>
          <w:sz w:val="20"/>
          <w:szCs w:val="20"/>
        </w:rPr>
        <w:t xml:space="preserve">Makimura H, et al. Effects of Tesamorelin on Coronary Artery Plaque Progression Among Patients with Human Immunodeficiency Virus. JAMA Network Open. 2022;5(12):e2246458.</w:t>
      </w:r>
    </w:p>
    <w:p>
      <w:pPr>
        <w:pStyle w:val="ListParagraph"/>
        <w:numPr>
          <w:ilvl w:val="0"/>
          <w:numId w:val="3"/>
        </w:numPr>
        <w:spacing w:after="80" w:line="300"/>
      </w:pPr>
      <w:r>
        <w:rPr>
          <w:rFonts w:ascii="Arial" w:cs="Arial" w:eastAsia="Arial" w:hAnsi="Arial"/>
          <w:color w:val="000000"/>
          <w:sz w:val="20"/>
          <w:szCs w:val="20"/>
        </w:rPr>
        <w:t xml:space="preserve">Dhillon S. Tesamorelin: A Review of Its Use in the Management of HIV-Associated Lipodystrophy. Drugs. 2011;71(8):1071-1091.</w:t>
      </w:r>
    </w:p>
    <w:p>
      <w:pPr>
        <w:pStyle w:val="ListParagraph"/>
        <w:numPr>
          <w:ilvl w:val="0"/>
          <w:numId w:val="3"/>
        </w:numPr>
        <w:spacing w:after="80" w:line="300"/>
      </w:pPr>
      <w:r>
        <w:rPr>
          <w:rFonts w:ascii="Arial" w:cs="Arial" w:eastAsia="Arial" w:hAnsi="Arial"/>
          <w:color w:val="000000"/>
          <w:sz w:val="20"/>
          <w:szCs w:val="20"/>
        </w:rPr>
        <w:t xml:space="preserve">Stanley TL, et al. Effects of Tesamorelin on Non-Alcoholic Fatty Liver Disease in HIV: A Randomized, Double-Blind, Multicenter Trial. Lancet HIV. 2019;6(12):e821-e830.</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Tesamorelin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Tesamorelin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Tesamorelin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2026-03-28T14:24:36.139Z</dcterms:created>
  <dcterms:modified xsi:type="dcterms:W3CDTF">2026-03-28T14:24:36.139Z</dcterms:modified>
</cp:coreProperties>
</file>

<file path=docProps/custom.xml><?xml version="1.0" encoding="utf-8"?>
<Properties xmlns="http://schemas.openxmlformats.org/officeDocument/2006/custom-properties" xmlns:vt="http://schemas.openxmlformats.org/officeDocument/2006/docPropsVTypes"/>
</file>