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drawing>
          <wp:inline distT="0" distB="0" distL="0" distR="0">
            <wp:extent cx="2857500" cy="19050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905000"/>
                    </a:xfrm>
                    <a:prstGeom prst="rect">
                      <a:avLst/>
                    </a:prstGeom>
                  </pic:spPr>
                </pic:pic>
              </a:graphicData>
            </a:graphic>
          </wp:inline>
        </w:drawing>
      </w:r>
    </w:p>
    <w:p>
      <w:pPr>
        <w:spacing w:after="200"/>
        <w:jc w:val="center"/>
      </w:pPr>
      <w:r>
        <w:rPr>
          <w:rFonts w:ascii="Arial" w:cs="Arial" w:eastAsia="Arial" w:hAnsi="Arial"/>
          <w:color w:val="999999"/>
          <w:spacing w:val="200"/>
          <w:sz w:val="22"/>
          <w:szCs w:val="22"/>
        </w:rPr>
        <w:t xml:space="preserve">PEPTIDE RESEARCH BRIEF</w:t>
      </w:r>
    </w:p>
    <w:p>
      <w:pPr>
        <w:spacing w:after="200"/>
        <w:jc w:val="center"/>
      </w:pPr>
      <w:r>
        <w:rPr>
          <w:rFonts w:ascii="Arial" w:cs="Arial" w:eastAsia="Arial" w:hAnsi="Arial"/>
          <w:b/>
          <w:bCs/>
          <w:color w:val="CC0000"/>
          <w:sz w:val="64"/>
          <w:szCs w:val="64"/>
        </w:rPr>
        <w:t xml:space="preserve">BPC-157 / TB-500</w:t>
      </w:r>
    </w:p>
    <w:p>
      <w:pPr>
        <w:pBdr>
          <w:bottom w:val="single" w:color="CC0000" w:sz="6" w:space="8"/>
        </w:pBdr>
        <w:spacing w:after="100"/>
        <w:jc w:val="center"/>
      </w:pPr>
      <w:r>
        <w:rPr>
          <w:rFonts w:ascii="Arial" w:cs="Arial" w:eastAsia="Arial" w:hAnsi="Arial"/>
          <w:color w:val="555555"/>
          <w:sz w:val="22"/>
          <w:szCs w:val="22"/>
        </w:rPr>
        <w:t xml:space="preserve">Regenerative Blend | Body Protection Compound + Thymosin Beta-4 Fragment</w:t>
      </w:r>
    </w:p>
    <w:p>
      <w:pPr>
        <w:spacing w:before="400"/>
      </w:pPr>
    </w:p>
    <w:p>
      <w:pPr>
        <w:spacing w:after="80"/>
        <w:jc w:val="center"/>
      </w:pPr>
      <w:r>
        <w:rPr>
          <w:rFonts w:ascii="Arial" w:cs="Arial" w:eastAsia="Arial" w:hAnsi="Arial"/>
          <w:color w:val="333333"/>
          <w:sz w:val="24"/>
          <w:szCs w:val="24"/>
        </w:rPr>
        <w:t xml:space="preserve">Description, Benefits, Dosage &amp; Research Overview</w:t>
      </w:r>
    </w:p>
    <w:p>
      <w:pPr>
        <w:spacing w:before="600"/>
      </w:pPr>
    </w:p>
    <w:p>
      <w:pPr>
        <w:spacing w:after="60"/>
        <w:jc w:val="center"/>
      </w:pPr>
      <w:r>
        <w:rPr>
          <w:rFonts w:ascii="Arial" w:cs="Arial" w:eastAsia="Arial" w:hAnsi="Arial"/>
          <w:b/>
          <w:bCs/>
          <w:color w:val="CC0000"/>
          <w:sz w:val="26"/>
          <w:szCs w:val="26"/>
        </w:rPr>
        <w:t xml:space="preserve">Iron Cell Research</w:t>
      </w:r>
    </w:p>
    <w:p>
      <w:pPr>
        <w:spacing w:after="60"/>
        <w:jc w:val="center"/>
      </w:pPr>
      <w:r>
        <w:rPr>
          <w:rFonts w:ascii="Arial" w:cs="Arial" w:eastAsia="Arial" w:hAnsi="Arial"/>
          <w:color w:val="333333"/>
          <w:sz w:val="22"/>
          <w:szCs w:val="22"/>
        </w:rPr>
        <w:t xml:space="preserve">IronCellResearch.com</w:t>
      </w:r>
    </w:p>
    <w:p>
      <w:pPr>
        <w:jc w:val="center"/>
      </w:pPr>
      <w:r>
        <w:rPr>
          <w:rFonts w:ascii="Arial" w:cs="Arial" w:eastAsia="Arial" w:hAnsi="Arial"/>
          <w:i/>
          <w:iCs/>
          <w:color w:val="999999"/>
          <w:sz w:val="20"/>
          <w:szCs w:val="20"/>
        </w:rPr>
        <w:t xml:space="preserve">For Research Use Only</w:t>
      </w:r>
    </w:p>
    <w:p>
      <w:pPr>
        <w:spacing w:before="400"/>
        <w:jc w:val="center"/>
      </w:pPr>
      <w:r>
        <w:drawing>
          <wp:inline distT="0" distB="0" distL="0" distR="0">
            <wp:extent cx="1333500" cy="885825"/>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885825"/>
                    </a:xfrm>
                    <a:prstGeom prst="rect">
                      <a:avLst/>
                    </a:prstGeom>
                  </pic:spPr>
                </pic:pic>
              </a:graphicData>
            </a:graphic>
          </wp:inline>
        </w:drawing>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CC0000"/>
          <w:sz w:val="36"/>
          <w:szCs w:val="36"/>
        </w:rPr>
        <w:t xml:space="preserve">Blend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Blend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BPC-157 / TB-500</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Classification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Regenerative Peptide Blend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Components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BPC-157 (Body Protection Compound) + TB-500 (Thymosin Beta-4 Fragment)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Research Focus</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Tissue repair, recovery, anti-inflammatory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Purity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Greater than or equal to 99% (each component)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Lyophilized, -20C, protected from light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Research Status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Active preclinical research (individual and combined)</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Description</w:t>
      </w:r>
    </w:p>
    <w:p>
      <w:pPr>
        <w:spacing w:after="160" w:line="300"/>
      </w:pPr>
      <w:r>
        <w:rPr>
          <w:rFonts w:ascii="Arial" w:cs="Arial" w:eastAsia="Arial" w:hAnsi="Arial"/>
          <w:color w:val="000000"/>
          <w:sz w:val="22"/>
          <w:szCs w:val="22"/>
        </w:rPr>
        <w:t xml:space="preserve">This blend combines two of the most researched regenerative peptides. BPC-157 is a pentadecapeptide (15 amino acids) derived from human gastric juice, known for its powerful tissue-protective and healing properties. TB-500 is the active fragment (amino acids 17-23) of Thymosin Beta-4, a 43-amino acid protein involved in cell migration and tissue repair.</w:t>
      </w:r>
    </w:p>
    <w:p>
      <w:pPr>
        <w:spacing w:after="160" w:line="300"/>
      </w:pPr>
      <w:r>
        <w:rPr>
          <w:rFonts w:ascii="Arial" w:cs="Arial" w:eastAsia="Arial" w:hAnsi="Arial"/>
          <w:color w:val="000000"/>
          <w:sz w:val="22"/>
          <w:szCs w:val="22"/>
        </w:rPr>
        <w:t xml:space="preserve">Together, these peptides provide complementary mechanisms of tissue repair, offering broader regenerative coverage than either peptide alone.</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Component 1: BPC-157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Full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Body Protection Compound-157</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Sequence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Gly-Glu-Pro-Pro-Pro-Gly-Lys-Pro-Ala-Asp-Asp-Ala-Gly-Leu-Val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1419.53 g/mol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CAS Number</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137525-51-0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Origin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Derived from human gastric juice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Stability</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Stable in gastric juice (unique among peptides)</w:t>
            </w:r>
          </w:p>
        </w:tc>
      </w:tr>
    </w:tbl>
    <w:p>
      <w:pPr>
        <w:pStyle w:val="Heading2"/>
      </w:pPr>
      <w:r>
        <w:rPr>
          <w:rFonts w:ascii="Arial" w:cs="Arial" w:eastAsia="Arial" w:hAnsi="Arial"/>
          <w:b/>
          <w:bCs/>
          <w:color w:val="CC0000"/>
          <w:sz w:val="28"/>
          <w:szCs w:val="28"/>
        </w:rPr>
        <w:t xml:space="preserve">BPC-157 Mechanisms</w:t>
      </w:r>
    </w:p>
    <w:p>
      <w:pPr>
        <w:spacing w:after="160" w:line="300"/>
      </w:pPr>
      <w:r>
        <w:rPr>
          <w:rFonts w:ascii="Arial" w:cs="Arial" w:eastAsia="Arial" w:hAnsi="Arial"/>
          <w:color w:val="000000"/>
          <w:sz w:val="22"/>
          <w:szCs w:val="22"/>
        </w:rPr>
        <w:t xml:space="preserve">BPC-157 promotes angiogenesis through upregulation of VEGF and FGF-2, modulates the nitric oxide (NO) system for vascular and tissue protection, upregulates growth factor receptors including EGF and HGF, and directly stimulates tendon fibroblast outgrowth for tendon and ligament healing.</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Component 2: TB-500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Full Name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Thymosin Beta-4 Fragment (amino acids 17-23)</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Sequence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LKKTETQ</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Molecular Weight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846.93 g/mol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Origin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Active fragment of Thymosin Beta-4</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Biological Half-Life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Approximately 2 hours</w:t>
            </w:r>
          </w:p>
        </w:tc>
      </w:tr>
    </w:tbl>
    <w:p>
      <w:pPr>
        <w:pStyle w:val="Heading2"/>
      </w:pPr>
      <w:r>
        <w:rPr>
          <w:rFonts w:ascii="Arial" w:cs="Arial" w:eastAsia="Arial" w:hAnsi="Arial"/>
          <w:b/>
          <w:bCs/>
          <w:color w:val="CC0000"/>
          <w:sz w:val="28"/>
          <w:szCs w:val="28"/>
        </w:rPr>
        <w:t xml:space="preserve">TB-500 Mechanisms</w:t>
      </w:r>
    </w:p>
    <w:p>
      <w:pPr>
        <w:spacing w:after="160" w:line="300"/>
      </w:pPr>
      <w:r>
        <w:rPr>
          <w:rFonts w:ascii="Arial" w:cs="Arial" w:eastAsia="Arial" w:hAnsi="Arial"/>
          <w:color w:val="000000"/>
          <w:sz w:val="22"/>
          <w:szCs w:val="22"/>
        </w:rPr>
        <w:t xml:space="preserve">TB-500 sequesters G-actin monomers to promote cell migration and tissue repair, reduces inflammation through downregulation of pro-inflammatory cytokines, promotes angiogenesis and new blood vessel formation, and activates hair follicle stem cell migration for wound healing.</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Synergistic Research Benefits</w:t>
      </w:r>
    </w:p>
    <w:p>
      <w:pPr>
        <w:pStyle w:val="Heading2"/>
      </w:pPr>
      <w:r>
        <w:rPr>
          <w:rFonts w:ascii="Arial" w:cs="Arial" w:eastAsia="Arial" w:hAnsi="Arial"/>
          <w:b/>
          <w:bCs/>
          <w:color w:val="CC0000"/>
          <w:sz w:val="28"/>
          <w:szCs w:val="28"/>
        </w:rPr>
        <w:t xml:space="preserve">Musculoskeletal Recovery</w:t>
      </w:r>
    </w:p>
    <w:p>
      <w:pPr>
        <w:pStyle w:val="ListParagraph"/>
        <w:numPr>
          <w:ilvl w:val="0"/>
          <w:numId w:val="2"/>
        </w:numPr>
        <w:spacing w:after="80" w:line="300"/>
      </w:pPr>
      <w:r>
        <w:rPr>
          <w:rFonts w:ascii="Arial" w:cs="Arial" w:eastAsia="Arial" w:hAnsi="Arial"/>
          <w:b/>
          <w:bCs/>
          <w:color w:val="CC0000"/>
          <w:sz w:val="22"/>
          <w:szCs w:val="22"/>
        </w:rPr>
        <w:t xml:space="preserve">Tendon &amp; Ligament: </w:t>
      </w:r>
      <w:r>
        <w:rPr>
          <w:rFonts w:ascii="Arial" w:cs="Arial" w:eastAsia="Arial" w:hAnsi="Arial"/>
          <w:color w:val="000000"/>
          <w:sz w:val="22"/>
          <w:szCs w:val="22"/>
        </w:rPr>
        <w:t xml:space="preserve">BPC-157 stimulates fibroblast outgrowth while TB-500 promotes cell migration to injury sites, providing comprehensive connective tissue repair.</w:t>
      </w:r>
    </w:p>
    <w:p>
      <w:pPr>
        <w:pStyle w:val="ListParagraph"/>
        <w:numPr>
          <w:ilvl w:val="0"/>
          <w:numId w:val="2"/>
        </w:numPr>
        <w:spacing w:after="80" w:line="300"/>
      </w:pPr>
      <w:r>
        <w:rPr>
          <w:rFonts w:ascii="Arial" w:cs="Arial" w:eastAsia="Arial" w:hAnsi="Arial"/>
          <w:b/>
          <w:bCs/>
          <w:color w:val="CC0000"/>
          <w:sz w:val="22"/>
          <w:szCs w:val="22"/>
        </w:rPr>
        <w:t xml:space="preserve">Joint Health: </w:t>
      </w:r>
      <w:r>
        <w:rPr>
          <w:rFonts w:ascii="Arial" w:cs="Arial" w:eastAsia="Arial" w:hAnsi="Arial"/>
          <w:color w:val="000000"/>
          <w:sz w:val="22"/>
          <w:szCs w:val="22"/>
        </w:rPr>
        <w:t xml:space="preserve">Combined anti-inflammatory and regenerative effects support cartilage and synovial tissue healing.</w:t>
      </w:r>
    </w:p>
    <w:p>
      <w:pPr>
        <w:pStyle w:val="ListParagraph"/>
        <w:numPr>
          <w:ilvl w:val="0"/>
          <w:numId w:val="2"/>
        </w:numPr>
        <w:spacing w:after="80" w:line="300"/>
      </w:pPr>
      <w:r>
        <w:rPr>
          <w:rFonts w:ascii="Arial" w:cs="Arial" w:eastAsia="Arial" w:hAnsi="Arial"/>
          <w:b/>
          <w:bCs/>
          <w:color w:val="CC0000"/>
          <w:sz w:val="22"/>
          <w:szCs w:val="22"/>
        </w:rPr>
        <w:t xml:space="preserve">Bone Healing: </w:t>
      </w:r>
      <w:r>
        <w:rPr>
          <w:rFonts w:ascii="Arial" w:cs="Arial" w:eastAsia="Arial" w:hAnsi="Arial"/>
          <w:color w:val="000000"/>
          <w:sz w:val="22"/>
          <w:szCs w:val="22"/>
        </w:rPr>
        <w:t xml:space="preserve">Complementary angiogenic and growth factor pathways may support fracture repair.</w:t>
      </w:r>
    </w:p>
    <w:p>
      <w:pPr>
        <w:pStyle w:val="Heading2"/>
      </w:pPr>
      <w:r>
        <w:rPr>
          <w:rFonts w:ascii="Arial" w:cs="Arial" w:eastAsia="Arial" w:hAnsi="Arial"/>
          <w:b/>
          <w:bCs/>
          <w:color w:val="CC0000"/>
          <w:sz w:val="28"/>
          <w:szCs w:val="28"/>
        </w:rPr>
        <w:t xml:space="preserve">Soft Tissue Repair</w:t>
      </w:r>
    </w:p>
    <w:p>
      <w:pPr>
        <w:pStyle w:val="ListParagraph"/>
        <w:numPr>
          <w:ilvl w:val="0"/>
          <w:numId w:val="2"/>
        </w:numPr>
        <w:spacing w:after="80" w:line="300"/>
      </w:pPr>
      <w:r>
        <w:rPr>
          <w:rFonts w:ascii="Arial" w:cs="Arial" w:eastAsia="Arial" w:hAnsi="Arial"/>
          <w:b/>
          <w:bCs/>
          <w:color w:val="CC0000"/>
          <w:sz w:val="22"/>
          <w:szCs w:val="22"/>
        </w:rPr>
        <w:t xml:space="preserve">Muscle Recovery: </w:t>
      </w:r>
      <w:r>
        <w:rPr>
          <w:rFonts w:ascii="Arial" w:cs="Arial" w:eastAsia="Arial" w:hAnsi="Arial"/>
          <w:color w:val="000000"/>
          <w:sz w:val="22"/>
          <w:szCs w:val="22"/>
        </w:rPr>
        <w:t xml:space="preserve">TB-500 promotes myocyte migration and differentiation while BPC-157 enhances blood vessel formation for nutrient delivery to damaged muscle.</w:t>
      </w:r>
    </w:p>
    <w:p>
      <w:pPr>
        <w:pStyle w:val="ListParagraph"/>
        <w:numPr>
          <w:ilvl w:val="0"/>
          <w:numId w:val="2"/>
        </w:numPr>
        <w:spacing w:after="80" w:line="300"/>
      </w:pPr>
      <w:r>
        <w:rPr>
          <w:rFonts w:ascii="Arial" w:cs="Arial" w:eastAsia="Arial" w:hAnsi="Arial"/>
          <w:b/>
          <w:bCs/>
          <w:color w:val="CC0000"/>
          <w:sz w:val="22"/>
          <w:szCs w:val="22"/>
        </w:rPr>
        <w:t xml:space="preserve">Wound Healing: </w:t>
      </w:r>
      <w:r>
        <w:rPr>
          <w:rFonts w:ascii="Arial" w:cs="Arial" w:eastAsia="Arial" w:hAnsi="Arial"/>
          <w:color w:val="000000"/>
          <w:sz w:val="22"/>
          <w:szCs w:val="22"/>
        </w:rPr>
        <w:t xml:space="preserve">Dual angiogenic pathways accelerate wound closure and tissue remodeling.</w:t>
      </w:r>
    </w:p>
    <w:p>
      <w:pPr>
        <w:pStyle w:val="Heading2"/>
      </w:pPr>
      <w:r>
        <w:rPr>
          <w:rFonts w:ascii="Arial" w:cs="Arial" w:eastAsia="Arial" w:hAnsi="Arial"/>
          <w:b/>
          <w:bCs/>
          <w:color w:val="CC0000"/>
          <w:sz w:val="28"/>
          <w:szCs w:val="28"/>
        </w:rPr>
        <w:t xml:space="preserve">Gastrointestinal Health</w:t>
      </w:r>
    </w:p>
    <w:p>
      <w:pPr>
        <w:pStyle w:val="ListParagraph"/>
        <w:numPr>
          <w:ilvl w:val="0"/>
          <w:numId w:val="2"/>
        </w:numPr>
        <w:spacing w:after="80" w:line="300"/>
      </w:pPr>
      <w:r>
        <w:rPr>
          <w:rFonts w:ascii="Arial" w:cs="Arial" w:eastAsia="Arial" w:hAnsi="Arial"/>
          <w:b/>
          <w:bCs/>
          <w:color w:val="CC0000"/>
          <w:sz w:val="22"/>
          <w:szCs w:val="22"/>
        </w:rPr>
        <w:t xml:space="preserve">Gut Protection: </w:t>
      </w:r>
      <w:r>
        <w:rPr>
          <w:rFonts w:ascii="Arial" w:cs="Arial" w:eastAsia="Arial" w:hAnsi="Arial"/>
          <w:color w:val="000000"/>
          <w:sz w:val="22"/>
          <w:szCs w:val="22"/>
        </w:rPr>
        <w:t xml:space="preserve">BPC-157 demonstrates potent gastroprotective properties unique among peptides, protecting against ulcers, inflammatory bowel conditions, and gut barrier dysfunction.</w:t>
      </w:r>
    </w:p>
    <w:p>
      <w:pPr>
        <w:pStyle w:val="ListParagraph"/>
        <w:numPr>
          <w:ilvl w:val="0"/>
          <w:numId w:val="2"/>
        </w:numPr>
        <w:spacing w:after="80" w:line="300"/>
      </w:pPr>
      <w:r>
        <w:rPr>
          <w:rFonts w:ascii="Arial" w:cs="Arial" w:eastAsia="Arial" w:hAnsi="Arial"/>
          <w:b/>
          <w:bCs/>
          <w:color w:val="CC0000"/>
          <w:sz w:val="22"/>
          <w:szCs w:val="22"/>
        </w:rPr>
        <w:t xml:space="preserve">Mucosal Healing: </w:t>
      </w:r>
      <w:r>
        <w:rPr>
          <w:rFonts w:ascii="Arial" w:cs="Arial" w:eastAsia="Arial" w:hAnsi="Arial"/>
          <w:color w:val="000000"/>
          <w:sz w:val="22"/>
          <w:szCs w:val="22"/>
        </w:rPr>
        <w:t xml:space="preserve">Combined effects support intestinal mucosal integrity and repair.</w:t>
      </w:r>
    </w:p>
    <w:p>
      <w:pPr>
        <w:pStyle w:val="Heading2"/>
      </w:pPr>
      <w:r>
        <w:rPr>
          <w:rFonts w:ascii="Arial" w:cs="Arial" w:eastAsia="Arial" w:hAnsi="Arial"/>
          <w:b/>
          <w:bCs/>
          <w:color w:val="CC0000"/>
          <w:sz w:val="28"/>
          <w:szCs w:val="28"/>
        </w:rPr>
        <w:t xml:space="preserve">Cardiovascular Support</w:t>
      </w:r>
    </w:p>
    <w:p>
      <w:pPr>
        <w:pStyle w:val="ListParagraph"/>
        <w:numPr>
          <w:ilvl w:val="0"/>
          <w:numId w:val="2"/>
        </w:numPr>
        <w:spacing w:after="80" w:line="300"/>
      </w:pPr>
      <w:r>
        <w:rPr>
          <w:rFonts w:ascii="Arial" w:cs="Arial" w:eastAsia="Arial" w:hAnsi="Arial"/>
          <w:b/>
          <w:bCs/>
          <w:color w:val="CC0000"/>
          <w:sz w:val="22"/>
          <w:szCs w:val="22"/>
        </w:rPr>
        <w:t xml:space="preserve">Vascular Repair: </w:t>
      </w:r>
      <w:r>
        <w:rPr>
          <w:rFonts w:ascii="Arial" w:cs="Arial" w:eastAsia="Arial" w:hAnsi="Arial"/>
          <w:color w:val="000000"/>
          <w:sz w:val="22"/>
          <w:szCs w:val="22"/>
        </w:rPr>
        <w:t xml:space="preserve">Both peptides promote angiogenesis through distinct pathways, providing enhanced blood vessel formation and repair.</w:t>
      </w:r>
    </w:p>
    <w:p>
      <w:pPr>
        <w:pStyle w:val="ListParagraph"/>
        <w:numPr>
          <w:ilvl w:val="0"/>
          <w:numId w:val="2"/>
        </w:numPr>
        <w:spacing w:after="80" w:line="300"/>
      </w:pPr>
      <w:r>
        <w:rPr>
          <w:rFonts w:ascii="Arial" w:cs="Arial" w:eastAsia="Arial" w:hAnsi="Arial"/>
          <w:b/>
          <w:bCs/>
          <w:color w:val="CC0000"/>
          <w:sz w:val="22"/>
          <w:szCs w:val="22"/>
        </w:rPr>
        <w:t xml:space="preserve">Cardioprotection: </w:t>
      </w:r>
      <w:r>
        <w:rPr>
          <w:rFonts w:ascii="Arial" w:cs="Arial" w:eastAsia="Arial" w:hAnsi="Arial"/>
          <w:color w:val="000000"/>
          <w:sz w:val="22"/>
          <w:szCs w:val="22"/>
        </w:rPr>
        <w:t xml:space="preserve">BPC-157 has shown protective effects in cardiac injury models through NO pathway modulation.</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Dosage &amp; Administration</w:t>
      </w:r>
    </w:p>
    <w:p>
      <w:pPr>
        <w:spacing w:after="160" w:line="300"/>
      </w:pPr>
      <w:r>
        <w:rPr>
          <w:rFonts w:ascii="Arial" w:cs="Arial" w:eastAsia="Arial" w:hAnsi="Arial"/>
          <w:color w:val="000000"/>
          <w:sz w:val="22"/>
          <w:szCs w:val="22"/>
        </w:rPr>
        <w:t xml:space="preserve">The following dosage information is provided for research reference purposes only. Components may be administered separately or in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Protocol</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Dose Range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Route</w:t>
            </w:r>
          </w:p>
        </w:tc>
        <w:tc>
          <w:tcPr>
            <w:tcW w:type="dxa" w:w="234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BPC-157 Standard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250-500 mcg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Daily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BPC-157 Maintenance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250 mcg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Daily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TB-500 Loading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2-5 mg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000000"/>
                <w:sz w:val="20"/>
                <w:szCs w:val="20"/>
              </w:rPr>
              <w:t xml:space="preserve">2x per week (4-6 weeks)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TB-500 Maintenance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2 mg</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SubQ Injection</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color w:val="000000"/>
                <w:sz w:val="20"/>
                <w:szCs w:val="20"/>
              </w:rPr>
              <w:t xml:space="preserve">2x per month</w:t>
            </w:r>
          </w:p>
        </w:tc>
      </w:tr>
    </w:tbl>
    <w:p>
      <w:pPr>
        <w:spacing w:before="200"/>
      </w:pPr>
    </w:p>
    <w:p>
      <w:pPr>
        <w:pStyle w:val="Heading2"/>
      </w:pPr>
      <w:r>
        <w:rPr>
          <w:rFonts w:ascii="Arial" w:cs="Arial" w:eastAsia="Arial" w:hAnsi="Arial"/>
          <w:b/>
          <w:bCs/>
          <w:color w:val="CC0000"/>
          <w:sz w:val="28"/>
          <w:szCs w:val="28"/>
        </w:rPr>
        <w:t xml:space="preserve">Reconstitution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Solvent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Sterile bacteriostatic water</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BPC-157 Reconstitution</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1-2 mL BAC water per vial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TB-500 Reconstitution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1-2 mL BAC water per vial</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Mixing</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Gently swirl each vial, do not shake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Storage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Refrigerate at 2-8C, use within 21 days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Injection 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Subcutaneous, rotate sites, may inject near injury site</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Safety Profile</w:t>
      </w:r>
    </w:p>
    <w:p>
      <w:pPr>
        <w:spacing w:after="160" w:line="300"/>
      </w:pPr>
      <w:r>
        <w:rPr>
          <w:rFonts w:ascii="Arial" w:cs="Arial" w:eastAsia="Arial" w:hAnsi="Arial"/>
          <w:color w:val="000000"/>
          <w:sz w:val="22"/>
          <w:szCs w:val="22"/>
        </w:rPr>
        <w:t xml:space="preserve">Both components demonstrate favorable safety profiles in preclinical research:</w:t>
      </w:r>
    </w:p>
    <w:p>
      <w:pPr>
        <w:pStyle w:val="ListParagraph"/>
        <w:numPr>
          <w:ilvl w:val="0"/>
          <w:numId w:val="2"/>
        </w:numPr>
        <w:spacing w:after="80" w:line="300"/>
      </w:pPr>
      <w:r>
        <w:rPr>
          <w:rFonts w:ascii="Arial" w:cs="Arial" w:eastAsia="Arial" w:hAnsi="Arial"/>
          <w:b/>
          <w:bCs/>
          <w:color w:val="CC0000"/>
          <w:sz w:val="22"/>
          <w:szCs w:val="22"/>
        </w:rPr>
        <w:t xml:space="preserve">BPC-157 Tolerability: </w:t>
      </w:r>
      <w:r>
        <w:rPr>
          <w:rFonts w:ascii="Arial" w:cs="Arial" w:eastAsia="Arial" w:hAnsi="Arial"/>
          <w:color w:val="000000"/>
          <w:sz w:val="22"/>
          <w:szCs w:val="22"/>
        </w:rPr>
        <w:t xml:space="preserve">Excellent safety profile in animal studies with no reported toxic dose identified. As a gastric peptide fragment, it is well-tolerated across multiple routes of administration.</w:t>
      </w:r>
    </w:p>
    <w:p>
      <w:pPr>
        <w:pStyle w:val="ListParagraph"/>
        <w:numPr>
          <w:ilvl w:val="0"/>
          <w:numId w:val="2"/>
        </w:numPr>
        <w:spacing w:after="80" w:line="300"/>
      </w:pPr>
      <w:r>
        <w:rPr>
          <w:rFonts w:ascii="Arial" w:cs="Arial" w:eastAsia="Arial" w:hAnsi="Arial"/>
          <w:b/>
          <w:bCs/>
          <w:color w:val="CC0000"/>
          <w:sz w:val="22"/>
          <w:szCs w:val="22"/>
        </w:rPr>
        <w:t xml:space="preserve">TB-500 Tolerability: </w:t>
      </w:r>
      <w:r>
        <w:rPr>
          <w:rFonts w:ascii="Arial" w:cs="Arial" w:eastAsia="Arial" w:hAnsi="Arial"/>
          <w:color w:val="000000"/>
          <w:sz w:val="22"/>
          <w:szCs w:val="22"/>
        </w:rPr>
        <w:t xml:space="preserve">Derived from naturally occurring Thymosin Beta-4, TB-500 shows good tolerability with minimal adverse effects in preclinical models.</w:t>
      </w:r>
    </w:p>
    <w:p>
      <w:pPr>
        <w:pStyle w:val="ListParagraph"/>
        <w:numPr>
          <w:ilvl w:val="0"/>
          <w:numId w:val="2"/>
        </w:numPr>
        <w:spacing w:after="80" w:line="300"/>
      </w:pPr>
      <w:r>
        <w:rPr>
          <w:rFonts w:ascii="Arial" w:cs="Arial" w:eastAsia="Arial" w:hAnsi="Arial"/>
          <w:b/>
          <w:bCs/>
          <w:color w:val="CC0000"/>
          <w:sz w:val="22"/>
          <w:szCs w:val="22"/>
        </w:rPr>
        <w:t xml:space="preserve">Injection Site Reactions: </w:t>
      </w:r>
      <w:r>
        <w:rPr>
          <w:rFonts w:ascii="Arial" w:cs="Arial" w:eastAsia="Arial" w:hAnsi="Arial"/>
          <w:color w:val="000000"/>
          <w:sz w:val="22"/>
          <w:szCs w:val="22"/>
        </w:rPr>
        <w:t xml:space="preserve">Mild, transient redness or discomfort possible with subcutaneous injection for either component.</w:t>
      </w:r>
    </w:p>
    <w:p>
      <w:pPr>
        <w:pStyle w:val="ListParagraph"/>
        <w:numPr>
          <w:ilvl w:val="0"/>
          <w:numId w:val="2"/>
        </w:numPr>
        <w:spacing w:after="80" w:line="300"/>
      </w:pPr>
      <w:r>
        <w:rPr>
          <w:rFonts w:ascii="Arial" w:cs="Arial" w:eastAsia="Arial" w:hAnsi="Arial"/>
          <w:b/>
          <w:bCs/>
          <w:color w:val="CC0000"/>
          <w:sz w:val="22"/>
          <w:szCs w:val="22"/>
        </w:rPr>
        <w:t xml:space="preserve">Drug Interactions: </w:t>
      </w:r>
      <w:r>
        <w:rPr>
          <w:rFonts w:ascii="Arial" w:cs="Arial" w:eastAsia="Arial" w:hAnsi="Arial"/>
          <w:color w:val="000000"/>
          <w:sz w:val="22"/>
          <w:szCs w:val="22"/>
        </w:rPr>
        <w:t xml:space="preserve">No significant drug interactions identified for either component in preclinical research.</w:t>
      </w:r>
    </w:p>
    <w:p>
      <w:pPr>
        <w:pStyle w:val="ListParagraph"/>
        <w:numPr>
          <w:ilvl w:val="0"/>
          <w:numId w:val="2"/>
        </w:numPr>
        <w:spacing w:after="80" w:line="300"/>
      </w:pPr>
      <w:r>
        <w:rPr>
          <w:rFonts w:ascii="Arial" w:cs="Arial" w:eastAsia="Arial" w:hAnsi="Arial"/>
          <w:b/>
          <w:bCs/>
          <w:color w:val="CC0000"/>
          <w:sz w:val="22"/>
          <w:szCs w:val="22"/>
        </w:rPr>
        <w:t xml:space="preserve">Pregnancy &amp; Nursing: </w:t>
      </w:r>
      <w:r>
        <w:rPr>
          <w:rFonts w:ascii="Arial" w:cs="Arial" w:eastAsia="Arial" w:hAnsi="Arial"/>
          <w:color w:val="000000"/>
          <w:sz w:val="22"/>
          <w:szCs w:val="22"/>
        </w:rPr>
        <w:t xml:space="preserve">Insufficient safety data; use not recommended during pregnancy or lactation.</w:t>
      </w:r>
    </w:p>
    <w:p>
      <w:pPr>
        <w:spacing w:after="160" w:line="300"/>
      </w:pPr>
      <w:r>
        <w:rPr>
          <w:rFonts w:ascii="Arial" w:cs="Arial" w:eastAsia="Arial" w:hAnsi="Arial"/>
          <w:color w:val="000000"/>
          <w:sz w:val="22"/>
          <w:szCs w:val="22"/>
        </w:rPr>
        <w:t xml:space="preserve">Long-term human safety data remains limited for both peptides. Research continues to establish comprehensive safety profiles.</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Key References</w:t>
      </w:r>
    </w:p>
    <w:p>
      <w:pPr>
        <w:pStyle w:val="ListParagraph"/>
        <w:numPr>
          <w:ilvl w:val="0"/>
          <w:numId w:val="3"/>
        </w:numPr>
        <w:spacing w:after="80" w:line="300"/>
      </w:pPr>
      <w:r>
        <w:rPr>
          <w:rFonts w:ascii="Arial" w:cs="Arial" w:eastAsia="Arial" w:hAnsi="Arial"/>
          <w:color w:val="000000"/>
          <w:sz w:val="20"/>
          <w:szCs w:val="20"/>
        </w:rPr>
        <w:t xml:space="preserve">Seiwerth S, et al. BPC 157 and Standard Angiogenic Growth Factors: Gastrointestinal Tract Healing, Lessons from Tendon, Ligament, Muscle and Bone Healing. Current Pharmaceutical Design. 2018.</w:t>
      </w:r>
    </w:p>
    <w:p>
      <w:pPr>
        <w:pStyle w:val="ListParagraph"/>
        <w:numPr>
          <w:ilvl w:val="0"/>
          <w:numId w:val="3"/>
        </w:numPr>
        <w:spacing w:after="80" w:line="300"/>
      </w:pPr>
      <w:r>
        <w:rPr>
          <w:rFonts w:ascii="Arial" w:cs="Arial" w:eastAsia="Arial" w:hAnsi="Arial"/>
          <w:color w:val="000000"/>
          <w:sz w:val="20"/>
          <w:szCs w:val="20"/>
        </w:rPr>
        <w:t xml:space="preserve">Chang CH, et al. The Promoting Effect of Pentadecapeptide BPC 157 on Tendon Healing Involves Tendon Outgrowth, Cell Survival, and Cell Migration. Journal of Pharmacological Sciences. 2011.</w:t>
      </w:r>
    </w:p>
    <w:p>
      <w:pPr>
        <w:pStyle w:val="ListParagraph"/>
        <w:numPr>
          <w:ilvl w:val="0"/>
          <w:numId w:val="3"/>
        </w:numPr>
        <w:spacing w:after="80" w:line="300"/>
      </w:pPr>
      <w:r>
        <w:rPr>
          <w:rFonts w:ascii="Arial" w:cs="Arial" w:eastAsia="Arial" w:hAnsi="Arial"/>
          <w:color w:val="000000"/>
          <w:sz w:val="20"/>
          <w:szCs w:val="20"/>
        </w:rPr>
        <w:t xml:space="preserve">Pevec D, et al. Impact of Pentadecapeptide BPC 157 on Muscle Healing Impaired by Systemic Corticosteroid Application. Medical Science Monitor. 2010.</w:t>
      </w:r>
    </w:p>
    <w:p>
      <w:pPr>
        <w:pStyle w:val="ListParagraph"/>
        <w:numPr>
          <w:ilvl w:val="0"/>
          <w:numId w:val="3"/>
        </w:numPr>
        <w:spacing w:after="80" w:line="300"/>
      </w:pPr>
      <w:r>
        <w:rPr>
          <w:rFonts w:ascii="Arial" w:cs="Arial" w:eastAsia="Arial" w:hAnsi="Arial"/>
          <w:color w:val="000000"/>
          <w:sz w:val="20"/>
          <w:szCs w:val="20"/>
        </w:rPr>
        <w:t xml:space="preserve">Huff T, et al. Beta-Thymosins, Small Acidic Peptides with Multiple Functions. International Journal of Biochemistry &amp; Cell Biology. 2001.</w:t>
      </w:r>
    </w:p>
    <w:p>
      <w:pPr>
        <w:pStyle w:val="ListParagraph"/>
        <w:numPr>
          <w:ilvl w:val="0"/>
          <w:numId w:val="3"/>
        </w:numPr>
        <w:spacing w:after="80" w:line="300"/>
      </w:pPr>
      <w:r>
        <w:rPr>
          <w:rFonts w:ascii="Arial" w:cs="Arial" w:eastAsia="Arial" w:hAnsi="Arial"/>
          <w:color w:val="000000"/>
          <w:sz w:val="20"/>
          <w:szCs w:val="20"/>
        </w:rPr>
        <w:t xml:space="preserve">Goldstein AL, et al. Thymosin Beta-4: A Multi-Functional Regenerative Peptide. Expert Opinion on Biological Therapy. 2012.</w:t>
      </w:r>
    </w:p>
    <w:p>
      <w:pPr>
        <w:pStyle w:val="ListParagraph"/>
        <w:numPr>
          <w:ilvl w:val="0"/>
          <w:numId w:val="3"/>
        </w:numPr>
        <w:spacing w:after="80" w:line="300"/>
      </w:pPr>
      <w:r>
        <w:rPr>
          <w:rFonts w:ascii="Arial" w:cs="Arial" w:eastAsia="Arial" w:hAnsi="Arial"/>
          <w:color w:val="000000"/>
          <w:sz w:val="20"/>
          <w:szCs w:val="20"/>
        </w:rPr>
        <w:t xml:space="preserve">Malinda KM, et al. Thymosin Beta-4 Accelerates Wound Healing. Journal of Investigative Dermatology. 1999.</w:t>
      </w:r>
    </w:p>
    <w:p>
      <w:pPr>
        <w:pStyle w:val="ListParagraph"/>
        <w:numPr>
          <w:ilvl w:val="0"/>
          <w:numId w:val="3"/>
        </w:numPr>
        <w:spacing w:after="80" w:line="300"/>
      </w:pPr>
      <w:r>
        <w:rPr>
          <w:rFonts w:ascii="Arial" w:cs="Arial" w:eastAsia="Arial" w:hAnsi="Arial"/>
          <w:color w:val="000000"/>
          <w:sz w:val="20"/>
          <w:szCs w:val="20"/>
        </w:rPr>
        <w:t xml:space="preserve">Sosne G, et al. Thymosin Beta-4 and the Eye: Current Research and Clinical Applications. Expert Opinion on Biological Therapy. 2016.</w:t>
      </w:r>
    </w:p>
    <w:p>
      <w:pPr>
        <w:pStyle w:val="ListParagraph"/>
        <w:numPr>
          <w:ilvl w:val="0"/>
          <w:numId w:val="3"/>
        </w:numPr>
        <w:spacing w:after="80" w:line="300"/>
      </w:pPr>
      <w:r>
        <w:rPr>
          <w:rFonts w:ascii="Arial" w:cs="Arial" w:eastAsia="Arial" w:hAnsi="Arial"/>
          <w:color w:val="000000"/>
          <w:sz w:val="20"/>
          <w:szCs w:val="20"/>
        </w:rPr>
        <w:t xml:space="preserve">Smart N, et al. Thymosin Beta-4 Is Essential for Coronary Vessel Development. Annals of the New York Academy of Sciences. 2007.</w:t>
      </w:r>
    </w:p>
    <w:p>
      <w:pPr>
        <w:pBdr>
          <w:bottom w:val="single" w:color="CC0000" w:sz="4" w:space="1"/>
        </w:pBdr>
        <w:spacing w:before="200" w:after="200"/>
      </w:pPr>
    </w:p>
    <w:p>
      <w:pPr>
        <w:pStyle w:val="Heading1"/>
      </w:pPr>
      <w:r>
        <w:rPr>
          <w:rFonts w:ascii="Arial" w:cs="Arial" w:eastAsia="Arial" w:hAnsi="Arial"/>
          <w:b/>
          <w:bCs/>
          <w:color w:val="CC0000"/>
          <w:sz w:val="36"/>
          <w:szCs w:val="36"/>
        </w:rPr>
        <w:t xml:space="preserve">Contact &amp;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Company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Iron Cell Research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Website</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IronCellResearch.com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CC0000"/>
                <w:sz w:val="22"/>
                <w:szCs w:val="22"/>
              </w:rPr>
              <w:t xml:space="preserve">Email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0000"/>
                <w:sz w:val="22"/>
                <w:szCs w:val="22"/>
              </w:rPr>
              <w:t xml:space="preserve">orders@ironcellresearch.com</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CC0000"/>
                <w:sz w:val="22"/>
                <w:szCs w:val="22"/>
              </w:rPr>
              <w:t xml:space="preserve">Product Support</w:t>
            </w:r>
          </w:p>
        </w:tc>
        <w:tc>
          <w:tcPr>
            <w:tcW w:type="dxa" w:w="6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0000"/>
                <w:sz w:val="22"/>
                <w:szCs w:val="22"/>
              </w:rPr>
              <w:t xml:space="preserve">Available via website contact form</w:t>
            </w:r>
          </w:p>
        </w:tc>
      </w:tr>
    </w:tbl>
    <w:p>
      <w:pPr>
        <w:pBdr>
          <w:bottom w:val="single" w:color="CC0000" w:sz="4" w:space="1"/>
        </w:pBdr>
        <w:spacing w:before="200" w:after="200"/>
      </w:pPr>
    </w:p>
    <w:p>
      <w:pPr>
        <w:pStyle w:val="Heading1"/>
      </w:pPr>
      <w:r>
        <w:rPr>
          <w:rFonts w:ascii="Arial" w:cs="Arial" w:eastAsia="Arial" w:hAnsi="Arial"/>
          <w:b/>
          <w:bCs/>
          <w:color w:val="CC0000"/>
          <w:sz w:val="36"/>
          <w:szCs w:val="36"/>
        </w:rPr>
        <w:t xml:space="preserve">Disclaimer</w:t>
      </w:r>
    </w:p>
    <w:p>
      <w:pPr>
        <w:spacing w:after="160" w:line="300"/>
      </w:pPr>
      <w:r>
        <w:rPr>
          <w:rFonts w:ascii="Arial" w:cs="Arial" w:eastAsia="Arial" w:hAnsi="Arial"/>
          <w:color w:val="000000"/>
          <w:sz w:val="22"/>
          <w:szCs w:val="22"/>
        </w:rPr>
        <w:t xml:space="preserve">This document is intended for informational and research purposes only. BPC-157 / TB-500 is sold as a research compound and is not intended for human consumption. The information provided herein does not constitute medical advice, diagnosis, or treatment recommendations. All research applications should comply with applicable institutional, local, and federal regulations. Iron Cell Research makes no claims regarding the therapeutic efficacy of BPC-157 / TB-500 for any medical condition. Researchers should consult with qualified healthcare professionals and institutional review boards before initiating any research protocols involving human subjects.</w:t>
      </w:r>
    </w:p>
    <w:p>
      <w:pPr>
        <w:spacing w:before="300"/>
        <w:jc w:val="center"/>
      </w:pPr>
      <w:r>
        <w:rPr>
          <w:rFonts w:ascii="Arial" w:cs="Arial" w:eastAsia="Arial" w:hAnsi="Arial"/>
          <w:i/>
          <w:iCs/>
          <w:color w:val="999999"/>
          <w:sz w:val="20"/>
          <w:szCs w:val="20"/>
        </w:rPr>
        <w:t xml:space="preserve">Iron Cell Research - For Research Use Only</w:t>
      </w:r>
    </w:p>
    <w:p>
      <w:pPr>
        <w:spacing w:before="100"/>
        <w:jc w:val="center"/>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57150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C0000" w:sz="4" w:space="1"/>
      </w:pBdr>
    </w:pPr>
  </w:p>
  <w:p>
    <w:pPr>
      <w:spacing w:before="80"/>
      <w:jc w:val="center"/>
    </w:pPr>
    <w:r>
      <w:rPr>
        <w:rFonts w:ascii="Arial" w:cs="Arial" w:eastAsia="Arial" w:hAnsi="Arial"/>
        <w:color w:val="999999"/>
        <w:sz w:val="16"/>
        <w:szCs w:val="16"/>
      </w:rPr>
      <w:t xml:space="preserve">IronCellResearch.com  |  For Research Use Only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57250" cy="571500"/>
          <wp:effectExtent t="0" r="0" b="0" l="0"/>
          <wp:docPr id="1" name="logo" descr="Iron Cell Research Logo" title="Iron Cell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571500"/>
                  </a:xfrm>
                  <a:prstGeom prst="rect">
                    <a:avLst/>
                  </a:prstGeom>
                </pic:spPr>
              </pic:pic>
            </a:graphicData>
          </a:graphic>
        </wp:inline>
      </w:drawing>
    </w:r>
    <w:r>
      <w:rPr>
        <w:rFonts w:ascii="Arial" w:cs="Arial" w:eastAsia="Arial" w:hAnsi="Arial"/>
        <w:color w:val="999999"/>
        <w:sz w:val="18"/>
        <w:szCs w:val="18"/>
      </w:rPr>
      <w:t xml:space="preserve">    BPC-157 / TB-500 Peptide Brief</w:t>
    </w:r>
  </w:p>
  <w:p>
    <w:pPr>
      <w:pBdr>
        <w:bottom w:val="single" w:color="CC0000"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C000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f53fdf121203c8a81534bccd3c88a6a13827eed.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53fdf121203c8a81534bccd3c88a6a13827e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2026-03-28T14:18:09.010Z</dcterms:created>
  <dcterms:modified xsi:type="dcterms:W3CDTF">2026-03-28T14:18:09.010Z</dcterms:modified>
</cp:coreProperties>
</file>

<file path=docProps/custom.xml><?xml version="1.0" encoding="utf-8"?>
<Properties xmlns="http://schemas.openxmlformats.org/officeDocument/2006/custom-properties" xmlns:vt="http://schemas.openxmlformats.org/officeDocument/2006/docPropsVTypes"/>
</file>