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jc w:val="center"/>
      </w:pPr>
      <w:r>
        <w:rPr>
          <w:rFonts w:ascii="Arial" w:cs="Arial" w:eastAsia="Arial" w:hAnsi="Arial"/>
          <w:color w:val="999999"/>
          <w:sz w:val="22"/>
          <w:szCs w:val="22"/>
        </w:rPr>
        <w:t xml:space="preserve">PEPTIDE RESEARCH BRIEF</w:t>
      </w:r>
    </w:p>
    <w:p>
      <w:pPr>
        <w:jc w:val="center"/>
      </w:pPr>
      <w:r>
        <w:rPr>
          <w:rFonts w:ascii="Arial" w:cs="Arial" w:eastAsia="Arial" w:hAnsi="Arial"/>
          <w:b/>
          <w:bCs/>
          <w:color w:val="CC0000"/>
          <w:sz w:val="64"/>
          <w:szCs w:val="64"/>
        </w:rPr>
        <w:t xml:space="preserve">ARA-290</w:t>
      </w:r>
    </w:p>
    <w:p>
      <w:pPr>
        <w:jc w:val="center"/>
      </w:pPr>
      <w:r>
        <w:rPr>
          <w:rFonts w:ascii="Arial" w:cs="Arial" w:eastAsia="Arial" w:hAnsi="Arial"/>
          <w:color w:val="555555"/>
          <w:sz w:val="22"/>
          <w:szCs w:val="22"/>
        </w:rPr>
        <w:t xml:space="preserve">Synthetic Erythropoietin-Derived Peptide | Cytoprotective &amp; Anti-Inflammatory Research</w:t>
      </w:r>
    </w:p>
    <w:p/>
    <w:p>
      <w:pPr>
        <w:jc w:val="center"/>
      </w:pPr>
      <w:r>
        <w:rPr>
          <w:rFonts w:ascii="Arial" w:cs="Arial" w:eastAsia="Arial" w:hAnsi="Arial"/>
          <w:color w:val="333333"/>
          <w:sz w:val="24"/>
          <w:szCs w:val="24"/>
        </w:rPr>
        <w:t xml:space="preserve">Description, Benefits, Dosage &amp; Research Overview</w:t>
      </w:r>
    </w:p>
    <w:p/>
    <w:p>
      <w:pPr>
        <w:jc w:val="center"/>
      </w:pPr>
      <w:r>
        <w:rPr>
          <w:rFonts w:ascii="Arial" w:cs="Arial" w:eastAsia="Arial" w:hAnsi="Arial"/>
          <w:b/>
          <w:bCs/>
          <w:color w:val="CC0000"/>
          <w:sz w:val="26"/>
          <w:szCs w:val="26"/>
        </w:rPr>
        <w:t xml:space="preserve">Iron Cell Research</w:t>
      </w:r>
    </w:p>
    <w:p>
      <w:pPr>
        <w:jc w:val="center"/>
      </w:pPr>
      <w:r>
        <w:rPr>
          <w:rFonts w:ascii="Arial" w:cs="Arial" w:eastAsia="Arial" w:hAnsi="Arial"/>
          <w:color w:val="333333"/>
          <w:sz w:val="22"/>
          <w:szCs w:val="22"/>
        </w:rPr>
        <w:t xml:space="preserve">IronCellResearch.com</w:t>
      </w:r>
    </w:p>
    <w:p>
      <w:pPr>
        <w:jc w:val="center"/>
      </w:pPr>
      <w:r>
        <w:rPr>
          <w:rFonts w:ascii="Arial" w:cs="Arial" w:eastAsia="Arial" w:hAnsi="Arial"/>
          <w:color w:val="999999"/>
          <w:sz w:val="22"/>
          <w:szCs w:val="22"/>
        </w:rPr>
        <w:t xml:space="preserve">For Research Use Only</w:t>
      </w:r>
    </w:p>
    <w:p/>
    <w:p>
      <w:pPr>
        <w:spacing w:after="120" w:before="240"/>
      </w:pPr>
      <w:r>
        <w:rPr>
          <w:rFonts w:ascii="Arial" w:cs="Arial" w:eastAsia="Arial" w:hAnsi="Arial"/>
          <w:b/>
          <w:bCs/>
          <w:color w:val="CC0000"/>
          <w:sz w:val="32"/>
          <w:szCs w:val="32"/>
        </w:rPr>
        <w:t xml:space="preserve">Overview</w:t>
      </w:r>
    </w:p>
    <w:p>
      <w:pPr>
        <w:spacing w:after="120"/>
      </w:pPr>
      <w:r>
        <w:rPr>
          <w:rFonts w:ascii="Arial" w:cs="Arial" w:eastAsia="Arial" w:hAnsi="Arial"/>
          <w:color w:val="222222"/>
          <w:sz w:val="22"/>
          <w:szCs w:val="22"/>
        </w:rPr>
        <w:t xml:space="preserve">ARA-290, also known as Cibinetide, is a synthetic 11-amino acid peptide derived from the helix-B domain of erythropoietin (EPO). It was engineered to selectively activate the tissue-protective innate repair receptor (IRR) — a heteromeric complex of EPO receptor and beta common receptor — without engaging the classical erythropoietic EPO receptor. As a result, ARA-290 exhibits tissue-protective effects without stimulating red blood cell production.</w:t>
      </w:r>
    </w:p>
    <w:p>
      <w:pPr>
        <w:spacing w:after="120" w:before="240"/>
      </w:pPr>
      <w:r>
        <w:rPr>
          <w:rFonts w:ascii="Arial" w:cs="Arial" w:eastAsia="Arial" w:hAnsi="Arial"/>
          <w:b/>
          <w:bCs/>
          <w:color w:val="CC0000"/>
          <w:sz w:val="32"/>
          <w:szCs w:val="32"/>
        </w:rPr>
        <w:t xml:space="preserve">Mechanism of Action</w:t>
      </w:r>
    </w:p>
    <w:p>
      <w:pPr>
        <w:spacing w:after="120"/>
      </w:pPr>
      <w:r>
        <w:rPr>
          <w:rFonts w:ascii="Arial" w:cs="Arial" w:eastAsia="Arial" w:hAnsi="Arial"/>
          <w:color w:val="222222"/>
          <w:sz w:val="22"/>
          <w:szCs w:val="22"/>
        </w:rPr>
        <w:t xml:space="preserve">ARA-290 binds selectively to the innate repair receptor (IRR), activating downstream pathways associated with cytoprotection, inflammation resolution, and tissue repair. In preclinical research, this has been linked to reduced apoptosis, modulation of cytokine profiles, and support for microvascular and neural integrity following injury.</w:t>
      </w:r>
    </w:p>
    <w:p>
      <w:pPr>
        <w:spacing w:after="120" w:before="240"/>
      </w:pPr>
      <w:r>
        <w:rPr>
          <w:rFonts w:ascii="Arial" w:cs="Arial" w:eastAsia="Arial" w:hAnsi="Arial"/>
          <w:b/>
          <w:bCs/>
          <w:color w:val="CC0000"/>
          <w:sz w:val="32"/>
          <w:szCs w:val="32"/>
        </w:rPr>
        <w:t xml:space="preserve">Research Applications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Neuropathic pain and small-fiber neuropathy models.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Cytoprotection and ischemia-reperfusion injury research.</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Anti-inflammatory pathway studies.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Wound healing and tissue repair models.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Metabolic and diabetic complications research.</w:t>
      </w:r>
    </w:p>
    <w:p>
      <w:pPr>
        <w:spacing w:after="120" w:before="240"/>
      </w:pPr>
      <w:r>
        <w:rPr>
          <w:rFonts w:ascii="Arial" w:cs="Arial" w:eastAsia="Arial" w:hAnsi="Arial"/>
          <w:b/>
          <w:bCs/>
          <w:color w:val="CC0000"/>
          <w:sz w:val="32"/>
          <w:szCs w:val="32"/>
        </w:rPr>
        <w:t xml:space="preserve">Typical Research Dosing</w:t>
      </w:r>
    </w:p>
    <w:p>
      <w:pPr>
        <w:spacing w:after="120"/>
      </w:pPr>
      <w:r>
        <w:rPr>
          <w:rFonts w:ascii="Arial" w:cs="Arial" w:eastAsia="Arial" w:hAnsi="Arial"/>
          <w:color w:val="222222"/>
          <w:sz w:val="22"/>
          <w:szCs w:val="22"/>
        </w:rPr>
        <w:t xml:space="preserve">Reported research doses range from 1000 mcg to 4000 mcg per administration, most commonly subcutaneous. Reconstitution with 1-3 mL bacteriostatic water is standard. Refer to the Iron Cell Research Peptide Calculator for reconstitution math.</w:t>
      </w:r>
    </w:p>
    <w:p>
      <w:pPr>
        <w:spacing w:after="120" w:before="240"/>
      </w:pPr>
      <w:r>
        <w:rPr>
          <w:rFonts w:ascii="Arial" w:cs="Arial" w:eastAsia="Arial" w:hAnsi="Arial"/>
          <w:b/>
          <w:bCs/>
          <w:color w:val="CC0000"/>
          <w:sz w:val="32"/>
          <w:szCs w:val="32"/>
        </w:rPr>
        <w:t xml:space="preserve">Storage &amp; Handling</w:t>
      </w:r>
    </w:p>
    <w:p>
      <w:pPr>
        <w:spacing w:after="120"/>
      </w:pPr>
      <w:r>
        <w:rPr>
          <w:rFonts w:ascii="Arial" w:cs="Arial" w:eastAsia="Arial" w:hAnsi="Arial"/>
          <w:color w:val="222222"/>
          <w:sz w:val="22"/>
          <w:szCs w:val="22"/>
        </w:rPr>
        <w:t xml:space="preserve">Lyophilized ARA-290 should be stored at -20 degrees C, protected from light. Once reconstituted, refrigerate at 2-8 degrees C and use within 30 days. Do not freeze reconstituted solution.</w:t>
      </w:r>
    </w:p>
    <w:p>
      <w:pPr>
        <w:spacing w:after="120" w:before="240"/>
      </w:pPr>
      <w:r>
        <w:rPr>
          <w:rFonts w:ascii="Arial" w:cs="Arial" w:eastAsia="Arial" w:hAnsi="Arial"/>
          <w:b/>
          <w:bCs/>
          <w:color w:val="CC0000"/>
          <w:sz w:val="32"/>
          <w:szCs w:val="32"/>
        </w:rPr>
        <w:t xml:space="preserve">Product Specifications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Peptide: ARA-290 (Cibinetide)</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Purity: &gt;= 98% (HPLC verified)</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Format: Lyophilized powder, 10 mg per vial</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Sequence: Pyr-Glu-Gln-Leu-Glu-Arg-Ala-Leu-Asn-Ser-Ser (11 amino acids)</w:t>
      </w:r>
    </w:p>
    <w:p>
      <w:pPr>
        <w:spacing w:after="80"/>
        <w:ind w:left="360" w:hanging="200"/>
      </w:pPr>
      <w:r>
        <w:rPr>
          <w:rFonts w:ascii="Arial" w:cs="Arial" w:eastAsia="Arial" w:hAnsi="Arial"/>
          <w:color w:val="222222"/>
          <w:sz w:val="22"/>
          <w:szCs w:val="22"/>
        </w:rPr>
        <w:t xml:space="preserve">•  </w:t>
      </w:r>
      <w:r>
        <w:rPr>
          <w:rFonts w:ascii="Arial" w:cs="Arial" w:eastAsia="Arial" w:hAnsi="Arial"/>
          <w:color w:val="222222"/>
          <w:sz w:val="22"/>
          <w:szCs w:val="22"/>
        </w:rPr>
        <w:t xml:space="preserve">Molecular weight: approx. 1257 g/mol</w:t>
      </w:r>
    </w:p>
    <w:p/>
    <w:p>
      <w:pPr>
        <w:spacing w:after="120" w:before="240"/>
      </w:pPr>
      <w:r>
        <w:rPr>
          <w:rFonts w:ascii="Arial" w:cs="Arial" w:eastAsia="Arial" w:hAnsi="Arial"/>
          <w:b/>
          <w:bCs/>
          <w:color w:val="CC0000"/>
          <w:sz w:val="32"/>
          <w:szCs w:val="32"/>
        </w:rPr>
        <w:t xml:space="preserve">Important Disclaimer</w:t>
      </w:r>
    </w:p>
    <w:p>
      <w:pPr>
        <w:spacing w:after="120"/>
      </w:pPr>
      <w:r>
        <w:rPr>
          <w:rFonts w:ascii="Arial" w:cs="Arial" w:eastAsia="Arial" w:hAnsi="Arial"/>
          <w:color w:val="222222"/>
          <w:sz w:val="22"/>
          <w:szCs w:val="22"/>
        </w:rPr>
        <w:t xml:space="preserve">All information in this brief is intended solely for scientific and educational research use. Products supplied by Iron Cell Research are not for human consumption. Researchers must handle these compounds only in accordance with applicable laws, regulations, and institutional guidelines. Iron Cell Research makes no medical claims and does not endorse any therapeutic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2026-07-07T23:30:15.560Z</dcterms:created>
  <dcterms:modified xsi:type="dcterms:W3CDTF">2026-07-07T23:30:15.560Z</dcterms:modified>
</cp:coreProperties>
</file>

<file path=docProps/custom.xml><?xml version="1.0" encoding="utf-8"?>
<Properties xmlns="http://schemas.openxmlformats.org/officeDocument/2006/custom-properties" xmlns:vt="http://schemas.openxmlformats.org/officeDocument/2006/docPropsVTypes"/>
</file>