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KLOW</w:t>
      </w:r>
    </w:p>
    <w:p>
      <w:pPr>
        <w:pBdr>
          <w:bottom w:val="single" w:color="CC0000" w:sz="6" w:space="8"/>
        </w:pBdr>
        <w:spacing w:after="100"/>
        <w:jc w:val="center"/>
      </w:pPr>
      <w:r>
        <w:rPr>
          <w:rFonts w:ascii="Arial" w:cs="Arial" w:eastAsia="Arial" w:hAnsi="Arial"/>
          <w:color w:val="555555"/>
          <w:sz w:val="22"/>
          <w:szCs w:val="22"/>
        </w:rPr>
        <w:t xml:space="preserve">Research Peptide Blend | GHK-Cu + BPC-157 + TB-500 + KPV (80mg)</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KLOW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4-Peptide Regenerative Blend (80mg total)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GHK-Cu (Copper Tripeptide-1) + BPC-157 + TB-500 + KPV</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Mixed (4-component blend)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Mixed (4-component blend)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N/A (multi-component formulation)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Varies by component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Active preclinical research (individual components)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KLOW is a 4-peptide research blend supplied as an 80mg lyophilized powder vial. It combines four complementary peptides — GHK-Cu (Copper Tripeptide-1), BPC-157 (Body Protection Compound), TB-500 (Thymosin Beta-4 fragment), and KPV (Lys-Pro-Val) — each chosen for its distinct role in cellular repair, anti-inflammatory signaling, mucosal integrity, and tissue regeneration. Each component has independently published preclinical literature supporting its use as a research tool.</w:t>
      </w:r>
    </w:p>
    <w:p>
      <w:pPr>
        <w:spacing w:after="160" w:line="300"/>
      </w:pPr>
      <w:r>
        <w:rPr>
          <w:rFonts w:ascii="Arial" w:cs="Arial" w:eastAsia="Arial" w:hAnsi="Arial"/>
          <w:color w:val="000000"/>
          <w:sz w:val="22"/>
          <w:szCs w:val="22"/>
        </w:rPr>
        <w:t xml:space="preserve">KLOW combines complementary mechanisms: GHK-Cu drives collagen synthesis and skin remodeling; BPC-157 promotes angiogenesis and tendon/tissue healing; TB-500 sequesters G-actin to accelerate cell migration and wound repair; KPV provides anti-inflammatory and antimicrobial signaling. Together these four peptides span four distinct repair axes in a single 80mg vial.</w:t>
      </w:r>
    </w:p>
    <w:p>
      <w:pPr>
        <w:spacing w:after="160" w:line="300"/>
      </w:pPr>
      <w:r>
        <w:rPr>
          <w:rFonts w:ascii="Arial" w:cs="Arial" w:eastAsia="Arial" w:hAnsi="Arial"/>
          <w:color w:val="000000"/>
          <w:sz w:val="22"/>
          <w:szCs w:val="22"/>
        </w:rPr>
        <w:t xml:space="preserve">KLOW has gained research interest for laboratory study of combined regenerative pathways, gut and tissue barrier research, and recovery-related cellular mechanisms. For research use only — not for human consumption.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Cellular Repair Pathways</w:t>
      </w:r>
    </w:p>
    <w:p>
      <w:pPr>
        <w:spacing w:after="160" w:line="300"/>
      </w:pPr>
      <w:r>
        <w:rPr>
          <w:rFonts w:ascii="Arial" w:cs="Arial" w:eastAsia="Arial" w:hAnsi="Arial"/>
          <w:color w:val="000000"/>
          <w:sz w:val="22"/>
          <w:szCs w:val="22"/>
        </w:rPr>
        <w:t xml:space="preserve">BPC-157 in the blend upregulates VEGF/FGF-2 for angiogenesis and modulates NO signaling for vascular and tissue protection. TB-500 promotes cell migration to injury sites via G-actin sequestration. GHK-Cu binds copper ions and stimulates collagen, elastin, and glycosaminoglycan synthesis in fibroblasts.</w:t>
      </w:r>
    </w:p>
    <w:p>
      <w:pPr>
        <w:pStyle w:val="Heading2"/>
      </w:pPr>
      <w:r>
        <w:rPr>
          <w:rFonts w:ascii="Arial" w:cs="Arial" w:eastAsia="Arial" w:hAnsi="Arial"/>
          <w:b/>
          <w:bCs/>
          <w:color w:val="CC0000"/>
          <w:sz w:val="28"/>
          <w:szCs w:val="28"/>
        </w:rPr>
        <w:t xml:space="preserve">Anti-Inflammatory Signaling</w:t>
      </w:r>
    </w:p>
    <w:p>
      <w:pPr>
        <w:spacing w:after="160" w:line="300"/>
      </w:pPr>
      <w:r>
        <w:rPr>
          <w:rFonts w:ascii="Arial" w:cs="Arial" w:eastAsia="Arial" w:hAnsi="Arial"/>
          <w:color w:val="000000"/>
          <w:sz w:val="22"/>
          <w:szCs w:val="22"/>
        </w:rPr>
        <w:t xml:space="preserve">KPV in the blend is a C-terminal tripeptide of α-MSH studied for potent anti-inflammatory effects. It reduces NF-κB activation, TNF-α and IL-6 production. TB-500 and GHK-Cu add complementary anti-inflammatory and immunomodulatory signaling.</w:t>
      </w:r>
    </w:p>
    <w:p>
      <w:pPr>
        <w:pStyle w:val="Heading2"/>
      </w:pPr>
      <w:r>
        <w:rPr>
          <w:rFonts w:ascii="Arial" w:cs="Arial" w:eastAsia="Arial" w:hAnsi="Arial"/>
          <w:b/>
          <w:bCs/>
          <w:color w:val="CC0000"/>
          <w:sz w:val="28"/>
          <w:szCs w:val="28"/>
        </w:rPr>
        <w:t xml:space="preserve">Mucosal &amp; Barrier Integrity</w:t>
      </w:r>
    </w:p>
    <w:p>
      <w:pPr>
        <w:spacing w:after="160" w:line="300"/>
      </w:pPr>
      <w:r>
        <w:rPr>
          <w:rFonts w:ascii="Arial" w:cs="Arial" w:eastAsia="Arial" w:hAnsi="Arial"/>
          <w:color w:val="000000"/>
          <w:sz w:val="22"/>
          <w:szCs w:val="22"/>
        </w:rPr>
        <w:t xml:space="preserve">The GH released in response to KLOW stimulates hepatic production of insulin-like growth factor-1 (IGF-1) and its binding proteins (IGFBPs). IGF-1 mediates many of GH's anabolic, lipolytic, and tissue-repair effects throughout the body. KLOW raises IGF-1 levels within the normal physiological range.</w:t>
      </w:r>
    </w:p>
    <w:p>
      <w:pPr>
        <w:pStyle w:val="Heading2"/>
      </w:pPr>
      <w:r>
        <w:rPr>
          <w:rFonts w:ascii="Arial" w:cs="Arial" w:eastAsia="Arial" w:hAnsi="Arial"/>
          <w:b/>
          <w:bCs/>
          <w:color w:val="CC0000"/>
          <w:sz w:val="28"/>
          <w:szCs w:val="28"/>
        </w:rPr>
        <w:t xml:space="preserve">Protective Cellular Mechanisms</w:t>
      </w:r>
    </w:p>
    <w:p>
      <w:pPr>
        <w:spacing w:after="160" w:line="300"/>
      </w:pPr>
      <w:r>
        <w:rPr>
          <w:rFonts w:ascii="Arial" w:cs="Arial" w:eastAsia="Arial" w:hAnsi="Arial"/>
          <w:color w:val="000000"/>
          <w:sz w:val="22"/>
          <w:szCs w:val="22"/>
        </w:rPr>
        <w:t xml:space="preserve">GHK-Cu modulates over 4,000 genes related to tissue remodeling and oxidative defense. BPC-157 shows broad cytoprotective effects in liver, kidney, brain, and cardiac injury models. KPV adds melanocortin-related cytoprotective signaling.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Tissue Recovery Research</w:t>
      </w:r>
    </w:p>
    <w:p>
      <w:pPr>
        <w:pStyle w:val="ListParagraph"/>
        <w:numPr>
          <w:ilvl w:val="0"/>
          <w:numId w:val="2"/>
        </w:numPr>
        <w:spacing w:after="80" w:line="300"/>
      </w:pPr>
      <w:r>
        <w:rPr>
          <w:rFonts w:ascii="Arial" w:cs="Arial" w:eastAsia="Arial" w:hAnsi="Arial"/>
          <w:b/>
          <w:bCs/>
          <w:color w:val="CC0000"/>
          <w:sz w:val="22"/>
          <w:szCs w:val="22"/>
        </w:rPr>
        <w:t xml:space="preserve">Connective Tissue: </w:t>
      </w:r>
      <w:r>
        <w:rPr>
          <w:rFonts w:ascii="Arial" w:cs="Arial" w:eastAsia="Arial" w:hAnsi="Arial"/>
          <w:color w:val="000000"/>
          <w:sz w:val="22"/>
          <w:szCs w:val="22"/>
        </w:rPr>
        <w:t xml:space="preserve">BPC-157 directly stimulates tendon fibroblast outgrowth and tendon-bone healing. TB-500 promotes cell migration to injury sites. GHK-Cu drives collagen synthesis. KPV reduces local inflammation.</w:t>
      </w:r>
    </w:p>
    <w:p>
      <w:pPr>
        <w:pStyle w:val="ListParagraph"/>
        <w:numPr>
          <w:ilvl w:val="0"/>
          <w:numId w:val="2"/>
        </w:numPr>
        <w:spacing w:after="80" w:line="300"/>
      </w:pPr>
      <w:r>
        <w:rPr>
          <w:rFonts w:ascii="Arial" w:cs="Arial" w:eastAsia="Arial" w:hAnsi="Arial"/>
          <w:b/>
          <w:bCs/>
          <w:color w:val="CC0000"/>
          <w:sz w:val="22"/>
          <w:szCs w:val="22"/>
        </w:rPr>
        <w:t xml:space="preserve">Vascular Repair: </w:t>
      </w:r>
      <w:r>
        <w:rPr>
          <w:rFonts w:ascii="Arial" w:cs="Arial" w:eastAsia="Arial" w:hAnsi="Arial"/>
          <w:color w:val="000000"/>
          <w:sz w:val="22"/>
          <w:szCs w:val="22"/>
        </w:rPr>
        <w:t xml:space="preserve">BPC-157 and TB-500 both promote angiogenesis via distinct pathways. GHK-Cu supports vascular repair through copper-dependent extracellular matrix remodeling.</w:t>
      </w:r>
    </w:p>
    <w:p>
      <w:pPr>
        <w:pStyle w:val="ListParagraph"/>
        <w:numPr>
          <w:ilvl w:val="0"/>
          <w:numId w:val="2"/>
        </w:numPr>
        <w:spacing w:after="80" w:line="300"/>
      </w:pPr>
      <w:r>
        <w:rPr>
          <w:rFonts w:ascii="Arial" w:cs="Arial" w:eastAsia="Arial" w:hAnsi="Arial"/>
          <w:b/>
          <w:bCs/>
          <w:color w:val="CC0000"/>
          <w:sz w:val="22"/>
          <w:szCs w:val="22"/>
        </w:rPr>
        <w:t xml:space="preserve">Skin &amp; Surface Tissue: </w:t>
      </w:r>
      <w:r>
        <w:rPr>
          <w:rFonts w:ascii="Arial" w:cs="Arial" w:eastAsia="Arial" w:hAnsi="Arial"/>
          <w:color w:val="000000"/>
          <w:sz w:val="22"/>
          <w:szCs w:val="22"/>
        </w:rPr>
        <w:t xml:space="preserve">GHK-Cu is a well-studied driver of collagen, elastin, and dermal remodeling. Combined with TB-500 (cell migration) and BPC-157 (angiogenesis), KLOW provides multi-pathway coverage for skin research.</w:t>
      </w:r>
    </w:p>
    <w:p>
      <w:pPr>
        <w:pStyle w:val="ListParagraph"/>
        <w:numPr>
          <w:ilvl w:val="0"/>
          <w:numId w:val="2"/>
        </w:numPr>
        <w:spacing w:after="80" w:line="300"/>
      </w:pPr>
      <w:r>
        <w:rPr>
          <w:rFonts w:ascii="Arial" w:cs="Arial" w:eastAsia="Arial" w:hAnsi="Arial"/>
          <w:b/>
          <w:bCs/>
          <w:color w:val="CC0000"/>
          <w:sz w:val="22"/>
          <w:szCs w:val="22"/>
        </w:rPr>
        <w:t xml:space="preserve">Joint &amp; Cartilage: </w:t>
      </w:r>
      <w:r>
        <w:rPr>
          <w:rFonts w:ascii="Arial" w:cs="Arial" w:eastAsia="Arial" w:hAnsi="Arial"/>
          <w:color w:val="000000"/>
          <w:sz w:val="22"/>
          <w:szCs w:val="22"/>
        </w:rPr>
        <w:t xml:space="preserve">BPC-157 and KPV together address inflammatory cartilage research while GHK-Cu supports proteoglycan and collagen synthesis.</w:t>
      </w:r>
    </w:p>
    <w:p>
      <w:pPr>
        <w:pStyle w:val="Heading2"/>
      </w:pPr>
      <w:r>
        <w:rPr>
          <w:rFonts w:ascii="Arial" w:cs="Arial" w:eastAsia="Arial" w:hAnsi="Arial"/>
          <w:b/>
          <w:bCs/>
          <w:color w:val="CC0000"/>
          <w:sz w:val="28"/>
          <w:szCs w:val="28"/>
        </w:rPr>
        <w:t xml:space="preserve">Gut &amp; Mucosal Research</w:t>
      </w:r>
    </w:p>
    <w:p>
      <w:pPr>
        <w:pStyle w:val="ListParagraph"/>
        <w:numPr>
          <w:ilvl w:val="0"/>
          <w:numId w:val="2"/>
        </w:numPr>
        <w:spacing w:after="80" w:line="300"/>
      </w:pPr>
      <w:r>
        <w:rPr>
          <w:rFonts w:ascii="Arial" w:cs="Arial" w:eastAsia="Arial" w:hAnsi="Arial"/>
          <w:b/>
          <w:bCs/>
          <w:color w:val="CC0000"/>
          <w:sz w:val="22"/>
          <w:szCs w:val="22"/>
        </w:rPr>
        <w:t xml:space="preserve">Barrier Function: </w:t>
      </w:r>
      <w:r>
        <w:rPr>
          <w:rFonts w:ascii="Arial" w:cs="Arial" w:eastAsia="Arial" w:hAnsi="Arial"/>
          <w:color w:val="000000"/>
          <w:sz w:val="22"/>
          <w:szCs w:val="22"/>
        </w:rPr>
        <w:t xml:space="preserve">BPC-157 is one of the most-researched compounds for gut barrier integrity and intestinal mucosal recovery in preclinical models.</w:t>
      </w:r>
    </w:p>
    <w:p>
      <w:pPr>
        <w:pStyle w:val="ListParagraph"/>
        <w:numPr>
          <w:ilvl w:val="0"/>
          <w:numId w:val="2"/>
        </w:numPr>
        <w:spacing w:after="80" w:line="300"/>
      </w:pPr>
      <w:r>
        <w:rPr>
          <w:rFonts w:ascii="Arial" w:cs="Arial" w:eastAsia="Arial" w:hAnsi="Arial"/>
          <w:b/>
          <w:bCs/>
          <w:color w:val="CC0000"/>
          <w:sz w:val="22"/>
          <w:szCs w:val="22"/>
        </w:rPr>
        <w:t xml:space="preserve">Mucosal Healing: </w:t>
      </w:r>
      <w:r>
        <w:rPr>
          <w:rFonts w:ascii="Arial" w:cs="Arial" w:eastAsia="Arial" w:hAnsi="Arial"/>
          <w:color w:val="000000"/>
          <w:sz w:val="22"/>
          <w:szCs w:val="22"/>
        </w:rPr>
        <w:t xml:space="preserve">BPC-157 has extensive preclinical literature on gastric ulcer, IBD, and oral mucosal models. KPV adds local anti-inflammatory effect.</w:t>
      </w:r>
    </w:p>
    <w:p>
      <w:pPr>
        <w:pStyle w:val="ListParagraph"/>
        <w:numPr>
          <w:ilvl w:val="0"/>
          <w:numId w:val="2"/>
        </w:numPr>
        <w:spacing w:after="80" w:line="300"/>
      </w:pPr>
      <w:r>
        <w:rPr>
          <w:rFonts w:ascii="Arial" w:cs="Arial" w:eastAsia="Arial" w:hAnsi="Arial"/>
          <w:b/>
          <w:bCs/>
          <w:color w:val="CC0000"/>
          <w:sz w:val="22"/>
          <w:szCs w:val="22"/>
        </w:rPr>
        <w:t xml:space="preserve">Inflammation Modulation: </w:t>
      </w:r>
      <w:r>
        <w:rPr>
          <w:rFonts w:ascii="Arial" w:cs="Arial" w:eastAsia="Arial" w:hAnsi="Arial"/>
          <w:color w:val="000000"/>
          <w:sz w:val="22"/>
          <w:szCs w:val="22"/>
        </w:rPr>
        <w:t xml:space="preserve">KPV directly reduces NF-κB and pro-inflammatory cytokine production. Combined with BPC-157's mucosal protection, KLOW provides multi-target anti-inflammatory coverage.</w:t>
      </w:r>
    </w:p>
    <w:p>
      <w:pPr>
        <w:pStyle w:val="Heading2"/>
      </w:pPr>
      <w:r>
        <w:rPr>
          <w:rFonts w:ascii="Arial" w:cs="Arial" w:eastAsia="Arial" w:hAnsi="Arial"/>
          <w:b/>
          <w:bCs/>
          <w:color w:val="CC0000"/>
          <w:sz w:val="28"/>
          <w:szCs w:val="28"/>
        </w:rPr>
        <w:t xml:space="preserve">Immune &amp; Inflammation Research</w:t>
      </w:r>
    </w:p>
    <w:p>
      <w:pPr>
        <w:pStyle w:val="ListParagraph"/>
        <w:numPr>
          <w:ilvl w:val="0"/>
          <w:numId w:val="2"/>
        </w:numPr>
        <w:spacing w:after="80" w:line="300"/>
      </w:pPr>
      <w:r>
        <w:rPr>
          <w:rFonts w:ascii="Arial" w:cs="Arial" w:eastAsia="Arial" w:hAnsi="Arial"/>
          <w:b/>
          <w:bCs/>
          <w:color w:val="CC0000"/>
          <w:sz w:val="22"/>
          <w:szCs w:val="22"/>
        </w:rPr>
        <w:t xml:space="preserve">Cytokine Modulation: </w:t>
      </w:r>
      <w:r>
        <w:rPr>
          <w:rFonts w:ascii="Arial" w:cs="Arial" w:eastAsia="Arial" w:hAnsi="Arial"/>
          <w:color w:val="000000"/>
          <w:sz w:val="22"/>
          <w:szCs w:val="22"/>
        </w:rPr>
        <w:t xml:space="preserve">KPV reduces TNF-α, IL-6, and IL-1β. TB-500 modulates inflammatory cell recruitment. GHK-Cu has additional immunomodulatory effects via copper-dependent signaling.</w:t>
      </w:r>
    </w:p>
    <w:p>
      <w:pPr>
        <w:pStyle w:val="ListParagraph"/>
        <w:numPr>
          <w:ilvl w:val="0"/>
          <w:numId w:val="2"/>
        </w:numPr>
        <w:spacing w:after="80" w:line="300"/>
      </w:pPr>
      <w:r>
        <w:rPr>
          <w:rFonts w:ascii="Arial" w:cs="Arial" w:eastAsia="Arial" w:hAnsi="Arial"/>
          <w:b/>
          <w:bCs/>
          <w:color w:val="CC0000"/>
          <w:sz w:val="22"/>
          <w:szCs w:val="22"/>
        </w:rPr>
        <w:t xml:space="preserve">NF-κB Pathway: </w:t>
      </w:r>
      <w:r>
        <w:rPr>
          <w:rFonts w:ascii="Arial" w:cs="Arial" w:eastAsia="Arial" w:hAnsi="Arial"/>
          <w:color w:val="000000"/>
          <w:sz w:val="22"/>
          <w:szCs w:val="22"/>
        </w:rPr>
        <w:t xml:space="preserve">KPV is a direct NF-κB pathway inhibitor at low concentrations. BPC-157 also modulates inflammatory transcription pathways.</w:t>
      </w:r>
    </w:p>
    <w:p>
      <w:pPr>
        <w:pStyle w:val="ListParagraph"/>
        <w:numPr>
          <w:ilvl w:val="0"/>
          <w:numId w:val="2"/>
        </w:numPr>
        <w:spacing w:after="80" w:line="300"/>
      </w:pPr>
      <w:r>
        <w:rPr>
          <w:rFonts w:ascii="Arial" w:cs="Arial" w:eastAsia="Arial" w:hAnsi="Arial"/>
          <w:b/>
          <w:bCs/>
          <w:color w:val="CC0000"/>
          <w:sz w:val="22"/>
          <w:szCs w:val="22"/>
        </w:rPr>
        <w:t xml:space="preserve">Immune Tone: </w:t>
      </w:r>
      <w:r>
        <w:rPr>
          <w:rFonts w:ascii="Arial" w:cs="Arial" w:eastAsia="Arial" w:hAnsi="Arial"/>
          <w:color w:val="000000"/>
          <w:sz w:val="22"/>
          <w:szCs w:val="22"/>
        </w:rPr>
        <w:t xml:space="preserve">TB-500 and KPV both influence macrophage behavior; KPV shifts toward anti-inflammatory M2 phenotype in research models.</w:t>
      </w:r>
    </w:p>
    <w:p>
      <w:pPr>
        <w:pStyle w:val="Heading2"/>
      </w:pPr>
      <w:r>
        <w:rPr>
          <w:rFonts w:ascii="Arial" w:cs="Arial" w:eastAsia="Arial" w:hAnsi="Arial"/>
          <w:b/>
          <w:bCs/>
          <w:color w:val="CC0000"/>
          <w:sz w:val="28"/>
          <w:szCs w:val="28"/>
        </w:rPr>
        <w:t xml:space="preserve">Anti-Aging &amp; Recovery Research</w:t>
      </w:r>
    </w:p>
    <w:p>
      <w:pPr>
        <w:pStyle w:val="ListParagraph"/>
        <w:numPr>
          <w:ilvl w:val="0"/>
          <w:numId w:val="2"/>
        </w:numPr>
        <w:spacing w:after="80" w:line="300"/>
      </w:pPr>
      <w:r>
        <w:rPr>
          <w:rFonts w:ascii="Arial" w:cs="Arial" w:eastAsia="Arial" w:hAnsi="Arial"/>
          <w:b/>
          <w:bCs/>
          <w:color w:val="CC0000"/>
          <w:sz w:val="22"/>
          <w:szCs w:val="22"/>
        </w:rPr>
        <w:t xml:space="preserve">Cellular Regeneration: </w:t>
      </w:r>
      <w:r>
        <w:rPr>
          <w:rFonts w:ascii="Arial" w:cs="Arial" w:eastAsia="Arial" w:hAnsi="Arial"/>
          <w:color w:val="000000"/>
          <w:sz w:val="22"/>
          <w:szCs w:val="22"/>
        </w:rPr>
        <w:t xml:space="preserve">TB-500 promotes hair follicle and progenitor cell migration. BPC-157 enhances stem-cell-related repair signaling. GHK-Cu activates genes related to tissue renewal.</w:t>
      </w:r>
    </w:p>
    <w:p>
      <w:pPr>
        <w:pStyle w:val="ListParagraph"/>
        <w:numPr>
          <w:ilvl w:val="0"/>
          <w:numId w:val="2"/>
        </w:numPr>
        <w:spacing w:after="80" w:line="300"/>
      </w:pPr>
      <w:r>
        <w:rPr>
          <w:rFonts w:ascii="Arial" w:cs="Arial" w:eastAsia="Arial" w:hAnsi="Arial"/>
          <w:b/>
          <w:bCs/>
          <w:color w:val="CC0000"/>
          <w:sz w:val="22"/>
          <w:szCs w:val="22"/>
        </w:rPr>
        <w:t xml:space="preserve">Oxidative Stress: </w:t>
      </w:r>
      <w:r>
        <w:rPr>
          <w:rFonts w:ascii="Arial" w:cs="Arial" w:eastAsia="Arial" w:hAnsi="Arial"/>
          <w:color w:val="000000"/>
          <w:sz w:val="22"/>
          <w:szCs w:val="22"/>
        </w:rPr>
        <w:t xml:space="preserve">GHK-Cu binds copper which is essential to antioxidant enzymes (Cu/Zn-SOD). BPC-157 modulates oxidative damage in injury models.</w:t>
      </w:r>
    </w:p>
    <w:p>
      <w:pPr>
        <w:pStyle w:val="ListParagraph"/>
        <w:numPr>
          <w:ilvl w:val="0"/>
          <w:numId w:val="2"/>
        </w:numPr>
        <w:spacing w:after="80" w:line="300"/>
      </w:pPr>
      <w:r>
        <w:rPr>
          <w:rFonts w:ascii="Arial" w:cs="Arial" w:eastAsia="Arial" w:hAnsi="Arial"/>
          <w:b/>
          <w:bCs/>
          <w:color w:val="CC0000"/>
          <w:sz w:val="22"/>
          <w:szCs w:val="22"/>
        </w:rPr>
        <w:t xml:space="preserve">Healthspan Markers: </w:t>
      </w:r>
      <w:r>
        <w:rPr>
          <w:rFonts w:ascii="Arial" w:cs="Arial" w:eastAsia="Arial" w:hAnsi="Arial"/>
          <w:color w:val="000000"/>
          <w:sz w:val="22"/>
          <w:szCs w:val="22"/>
        </w:rPr>
        <w:t xml:space="preserve">GHK-Cu is one of the most researched anti-aging peptides; combined with BPC-157, TB-500, and KPV, KLOW covers a broad span of recovery pathways.</w:t>
      </w:r>
    </w:p>
    <w:p>
      <w:pPr>
        <w:pStyle w:val="Heading2"/>
      </w:pPr>
      <w:r>
        <w:rPr>
          <w:rFonts w:ascii="Arial" w:cs="Arial" w:eastAsia="Arial" w:hAnsi="Arial"/>
          <w:b/>
          <w:bCs/>
          <w:color w:val="CC0000"/>
          <w:sz w:val="28"/>
          <w:szCs w:val="28"/>
        </w:rPr>
        <w:t xml:space="preserve">Research Status &amp; Applications</w:t>
      </w:r>
    </w:p>
    <w:p>
      <w:pPr>
        <w:pStyle w:val="ListParagraph"/>
        <w:numPr>
          <w:ilvl w:val="0"/>
          <w:numId w:val="2"/>
        </w:numPr>
        <w:spacing w:after="80" w:line="300"/>
      </w:pPr>
      <w:r>
        <w:rPr>
          <w:rFonts w:ascii="Arial" w:cs="Arial" w:eastAsia="Arial" w:hAnsi="Arial"/>
          <w:b/>
          <w:bCs/>
          <w:color w:val="CC0000"/>
          <w:sz w:val="22"/>
          <w:szCs w:val="22"/>
        </w:rPr>
        <w:t xml:space="preserve">Research Use: </w:t>
      </w:r>
      <w:r>
        <w:rPr>
          <w:rFonts w:ascii="Arial" w:cs="Arial" w:eastAsia="Arial" w:hAnsi="Arial"/>
          <w:color w:val="000000"/>
          <w:sz w:val="22"/>
          <w:szCs w:val="22"/>
        </w:rPr>
        <w:t xml:space="preserve">KLOW is supplied as a research compound for laboratory and preclinical research applications only.</w:t>
      </w:r>
    </w:p>
    <w:p>
      <w:pPr>
        <w:pStyle w:val="ListParagraph"/>
        <w:numPr>
          <w:ilvl w:val="0"/>
          <w:numId w:val="2"/>
        </w:numPr>
        <w:spacing w:after="80" w:line="300"/>
      </w:pPr>
      <w:r>
        <w:rPr>
          <w:rFonts w:ascii="Arial" w:cs="Arial" w:eastAsia="Arial" w:hAnsi="Arial"/>
          <w:b/>
          <w:bCs/>
          <w:color w:val="CC0000"/>
          <w:sz w:val="22"/>
          <w:szCs w:val="22"/>
        </w:rPr>
        <w:t xml:space="preserve">Active Investigation: </w:t>
      </w:r>
      <w:r>
        <w:rPr>
          <w:rFonts w:ascii="Arial" w:cs="Arial" w:eastAsia="Arial" w:hAnsi="Arial"/>
          <w:color w:val="000000"/>
          <w:sz w:val="22"/>
          <w:szCs w:val="22"/>
        </w:rPr>
        <w:t xml:space="preserve">Component peptides are actively studied in academic and preclinical research worldwide.</w:t>
      </w:r>
    </w:p>
    <w:p>
      <w:pPr>
        <w:pStyle w:val="ListParagraph"/>
        <w:numPr>
          <w:ilvl w:val="0"/>
          <w:numId w:val="2"/>
        </w:numPr>
        <w:spacing w:after="80" w:line="300"/>
      </w:pPr>
      <w:r>
        <w:rPr>
          <w:rFonts w:ascii="Arial" w:cs="Arial" w:eastAsia="Arial" w:hAnsi="Arial"/>
          <w:b/>
          <w:bCs/>
          <w:color w:val="CC0000"/>
          <w:sz w:val="22"/>
          <w:szCs w:val="22"/>
        </w:rPr>
        <w:t xml:space="preserve">Combination Studies: </w:t>
      </w:r>
      <w:r>
        <w:rPr>
          <w:rFonts w:ascii="Arial" w:cs="Arial" w:eastAsia="Arial" w:hAnsi="Arial"/>
          <w:color w:val="000000"/>
          <w:sz w:val="22"/>
          <w:szCs w:val="22"/>
        </w:rPr>
        <w:t xml:space="preserve">Used in research alongside other interventions to study additive and synergistic regenerative effects.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KLOW is for laboratory research use only and is not intended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Loading Phase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1-500 mcg-1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2-3x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2-3 mL BAC water per 80mg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rotate sites; may inject near research target area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Per protocol; commonly evening dosing in published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KLOW components demonstrate favorable preclinical safety profiles:</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Component peptides are generally well tolerated in preclinical research at typical doses.</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redness or discomfort possible with subcutaneous administration.</w:t>
      </w:r>
    </w:p>
    <w:p>
      <w:pPr>
        <w:pStyle w:val="ListParagraph"/>
        <w:numPr>
          <w:ilvl w:val="0"/>
          <w:numId w:val="2"/>
        </w:numPr>
        <w:spacing w:after="80" w:line="300"/>
      </w:pPr>
      <w:r>
        <w:rPr>
          <w:rFonts w:ascii="Arial" w:cs="Arial" w:eastAsia="Arial" w:hAnsi="Arial"/>
          <w:b/>
          <w:bCs/>
          <w:color w:val="CC0000"/>
          <w:sz w:val="22"/>
          <w:szCs w:val="22"/>
        </w:rPr>
        <w:t xml:space="preserve">Arthralgia &amp; Myalgia: </w:t>
      </w:r>
      <w:r>
        <w:rPr>
          <w:rFonts w:ascii="Arial" w:cs="Arial" w:eastAsia="Arial" w:hAnsi="Arial"/>
          <w:color w:val="000000"/>
          <w:sz w:val="22"/>
          <w:szCs w:val="22"/>
        </w:rPr>
        <w:t xml:space="preserve">Not commonly characteristic of the blend in research models.</w:t>
      </w:r>
    </w:p>
    <w:p>
      <w:pPr>
        <w:pStyle w:val="ListParagraph"/>
        <w:numPr>
          <w:ilvl w:val="0"/>
          <w:numId w:val="2"/>
        </w:numPr>
        <w:spacing w:after="80" w:line="300"/>
      </w:pPr>
      <w:r>
        <w:rPr>
          <w:rFonts w:ascii="Arial" w:cs="Arial" w:eastAsia="Arial" w:hAnsi="Arial"/>
          <w:b/>
          <w:bCs/>
          <w:color w:val="CC0000"/>
          <w:sz w:val="22"/>
          <w:szCs w:val="22"/>
        </w:rPr>
        <w:t xml:space="preserve">Peripheral Edema: </w:t>
      </w:r>
      <w:r>
        <w:rPr>
          <w:rFonts w:ascii="Arial" w:cs="Arial" w:eastAsia="Arial" w:hAnsi="Arial"/>
          <w:color w:val="000000"/>
          <w:sz w:val="22"/>
          <w:szCs w:val="22"/>
        </w:rPr>
        <w:t xml:space="preserve">Not commonly reported in research literature.</w:t>
      </w:r>
    </w:p>
    <w:p>
      <w:pPr>
        <w:pStyle w:val="ListParagraph"/>
        <w:numPr>
          <w:ilvl w:val="0"/>
          <w:numId w:val="2"/>
        </w:numPr>
        <w:spacing w:after="80" w:line="300"/>
      </w:pPr>
      <w:r>
        <w:rPr>
          <w:rFonts w:ascii="Arial" w:cs="Arial" w:eastAsia="Arial" w:hAnsi="Arial"/>
          <w:b/>
          <w:bCs/>
          <w:color w:val="CC0000"/>
          <w:sz w:val="22"/>
          <w:szCs w:val="22"/>
        </w:rPr>
        <w:t xml:space="preserve">Glucose Metabolism: </w:t>
      </w:r>
      <w:r>
        <w:rPr>
          <w:rFonts w:ascii="Arial" w:cs="Arial" w:eastAsia="Arial" w:hAnsi="Arial"/>
          <w:color w:val="000000"/>
          <w:sz w:val="22"/>
          <w:szCs w:val="22"/>
        </w:rPr>
        <w:t xml:space="preserve">No significant effects on glucose metabolism reported for the blend components.</w:t>
      </w:r>
    </w:p>
    <w:p>
      <w:pPr>
        <w:pStyle w:val="ListParagraph"/>
        <w:numPr>
          <w:ilvl w:val="0"/>
          <w:numId w:val="2"/>
        </w:numPr>
        <w:spacing w:after="80" w:line="300"/>
      </w:pPr>
      <w:r>
        <w:rPr>
          <w:rFonts w:ascii="Arial" w:cs="Arial" w:eastAsia="Arial" w:hAnsi="Arial"/>
          <w:b/>
          <w:bCs/>
          <w:color w:val="CC0000"/>
          <w:sz w:val="22"/>
          <w:szCs w:val="22"/>
        </w:rPr>
        <w:t xml:space="preserve">IGF-1 Monitoring: </w:t>
      </w:r>
      <w:r>
        <w:rPr>
          <w:rFonts w:ascii="Arial" w:cs="Arial" w:eastAsia="Arial" w:hAnsi="Arial"/>
          <w:color w:val="000000"/>
          <w:sz w:val="22"/>
          <w:szCs w:val="22"/>
        </w:rPr>
        <w:t xml:space="preserve">No routine monitoring required in standard preclinical protocols.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Known hypersensitivity to any component. Limited safety data in pregnancy and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Seiwerth S, et al. BPC 157 and Standard Angiogenic Growth Factors. Current Pharmaceutical Design. 2018.</w:t>
      </w:r>
    </w:p>
    <w:p>
      <w:pPr>
        <w:pStyle w:val="ListParagraph"/>
        <w:numPr>
          <w:ilvl w:val="0"/>
          <w:numId w:val="3"/>
        </w:numPr>
        <w:spacing w:after="80" w:line="300"/>
      </w:pPr>
      <w:r>
        <w:rPr>
          <w:rFonts w:ascii="Arial" w:cs="Arial" w:eastAsia="Arial" w:hAnsi="Arial"/>
          <w:color w:val="000000"/>
          <w:sz w:val="20"/>
          <w:szCs w:val="20"/>
        </w:rPr>
        <w:t xml:space="preserve">Pickart L, Margolina A. Regenerative and Protective Actions of the GHK-Cu Peptide. International Journal of Molecular Sciences. 2018;19(7):1987.</w:t>
      </w:r>
    </w:p>
    <w:p>
      <w:pPr>
        <w:pStyle w:val="ListParagraph"/>
        <w:numPr>
          <w:ilvl w:val="0"/>
          <w:numId w:val="3"/>
        </w:numPr>
        <w:spacing w:after="80" w:line="300"/>
      </w:pPr>
      <w:r>
        <w:rPr>
          <w:rFonts w:ascii="Arial" w:cs="Arial" w:eastAsia="Arial" w:hAnsi="Arial"/>
          <w:color w:val="000000"/>
          <w:sz w:val="20"/>
          <w:szCs w:val="20"/>
        </w:rPr>
        <w:t xml:space="preserve">Malinda KM, et al. Thymosin Beta-4 Accelerates Wound Healing. Journal of Investigative Dermatology. 1999.</w:t>
      </w:r>
    </w:p>
    <w:p>
      <w:pPr>
        <w:pStyle w:val="ListParagraph"/>
        <w:numPr>
          <w:ilvl w:val="0"/>
          <w:numId w:val="3"/>
        </w:numPr>
        <w:spacing w:after="80" w:line="300"/>
      </w:pPr>
      <w:r>
        <w:rPr>
          <w:rFonts w:ascii="Arial" w:cs="Arial" w:eastAsia="Arial" w:hAnsi="Arial"/>
          <w:color w:val="000000"/>
          <w:sz w:val="20"/>
          <w:szCs w:val="20"/>
        </w:rPr>
        <w:t xml:space="preserve">Hardman J, Hooper N, Turner A. KPV: a peptide with multiple immunomodulatory roles. Current Topics in Medicinal Chemistry. 2010.</w:t>
      </w:r>
    </w:p>
    <w:p>
      <w:pPr>
        <w:pStyle w:val="ListParagraph"/>
        <w:numPr>
          <w:ilvl w:val="0"/>
          <w:numId w:val="3"/>
        </w:numPr>
        <w:spacing w:after="80" w:line="300"/>
      </w:pPr>
      <w:r>
        <w:rPr>
          <w:rFonts w:ascii="Arial" w:cs="Arial" w:eastAsia="Arial" w:hAnsi="Arial"/>
          <w:color w:val="000000"/>
          <w:sz w:val="20"/>
          <w:szCs w:val="20"/>
        </w:rPr>
        <w:t xml:space="preserve">Khavinson VK. Peptidergic Regulation of Gene Expression and Cell Aging. Frontiers in Pharmacology. 2014.</w:t>
      </w:r>
    </w:p>
    <w:p>
      <w:pPr>
        <w:pStyle w:val="ListParagraph"/>
        <w:numPr>
          <w:ilvl w:val="0"/>
          <w:numId w:val="3"/>
        </w:numPr>
        <w:spacing w:after="80" w:line="300"/>
      </w:pPr>
      <w:r>
        <w:rPr>
          <w:rFonts w:ascii="Arial" w:cs="Arial" w:eastAsia="Arial" w:hAnsi="Arial"/>
          <w:color w:val="000000"/>
          <w:sz w:val="20"/>
          <w:szCs w:val="20"/>
        </w:rPr>
        <w:t xml:space="preserve">Chang CH, et al. The Promoting Effect of Pentadecapeptide BPC 157 on Tendon Healing. Journal of Pharmacological Sciences. 2011.</w:t>
      </w:r>
    </w:p>
    <w:p>
      <w:pPr>
        <w:pStyle w:val="ListParagraph"/>
        <w:numPr>
          <w:ilvl w:val="0"/>
          <w:numId w:val="3"/>
        </w:numPr>
        <w:spacing w:after="80" w:line="300"/>
      </w:pPr>
      <w:r>
        <w:rPr>
          <w:rFonts w:ascii="Arial" w:cs="Arial" w:eastAsia="Arial" w:hAnsi="Arial"/>
          <w:color w:val="000000"/>
          <w:sz w:val="20"/>
          <w:szCs w:val="20"/>
        </w:rPr>
        <w:t xml:space="preserve">Pickart L, et al. GHK Peptide as a Natural Modulator of Multiple Cellular Pathways in Skin Regeneration. BioMed Research International. 2015;2015:648108.</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KLOW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KLOW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KLOW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2026-03-28T14:24:36.139Z</dcterms:created>
  <dcterms:modified xsi:type="dcterms:W3CDTF">2026-03-28T14:24:36.139Z</dcterms:modified>
</cp:coreProperties>
</file>

<file path=docProps/custom.xml><?xml version="1.0" encoding="utf-8"?>
<Properties xmlns="http://schemas.openxmlformats.org/officeDocument/2006/custom-properties" xmlns:vt="http://schemas.openxmlformats.org/officeDocument/2006/docPropsVTypes"/>
</file>