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drawing>
          <wp:inline distT="0" distB="0" distL="0" distR="0">
            <wp:extent cx="2857500" cy="19050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905000"/>
                    </a:xfrm>
                    <a:prstGeom prst="rect">
                      <a:avLst/>
                    </a:prstGeom>
                  </pic:spPr>
                </pic:pic>
              </a:graphicData>
            </a:graphic>
          </wp:inline>
        </w:drawing>
      </w:r>
    </w:p>
    <w:p>
      <w:pPr>
        <w:spacing w:after="200"/>
        <w:jc w:val="center"/>
      </w:pPr>
      <w:r>
        <w:rPr>
          <w:rFonts w:ascii="Arial" w:cs="Arial" w:eastAsia="Arial" w:hAnsi="Arial"/>
          <w:color w:val="999999"/>
          <w:spacing w:val="200"/>
          <w:sz w:val="22"/>
          <w:szCs w:val="22"/>
        </w:rPr>
        <w:t xml:space="preserve">PEPTIDE RESEARCH BRIEF</w:t>
      </w:r>
    </w:p>
    <w:p>
      <w:pPr>
        <w:spacing w:after="200"/>
        <w:jc w:val="center"/>
      </w:pPr>
      <w:r>
        <w:rPr>
          <w:rFonts w:ascii="Arial" w:cs="Arial" w:eastAsia="Arial" w:hAnsi="Arial"/>
          <w:b/>
          <w:bCs/>
          <w:color w:val="CC0000"/>
          <w:sz w:val="64"/>
          <w:szCs w:val="64"/>
        </w:rPr>
        <w:t xml:space="preserve">Thymosin Alpha-1</w:t>
      </w:r>
    </w:p>
    <w:p>
      <w:pPr>
        <w:pBdr>
          <w:bottom w:val="single" w:color="CC0000" w:sz="6" w:space="8"/>
        </w:pBdr>
        <w:spacing w:after="100"/>
        <w:jc w:val="center"/>
      </w:pPr>
      <w:r>
        <w:rPr>
          <w:rFonts w:ascii="Arial" w:cs="Arial" w:eastAsia="Arial" w:hAnsi="Arial"/>
          <w:color w:val="555555"/>
          <w:sz w:val="22"/>
          <w:szCs w:val="22"/>
        </w:rPr>
        <w:t xml:space="preserve">Synthetic 28-Amino-Acid Thymic Peptide | Immune-Modulating &amp; Immunorestorative Peptide</w:t>
      </w:r>
    </w:p>
    <w:p>
      <w:pPr>
        <w:spacing w:before="400"/>
      </w:pPr>
    </w:p>
    <w:p>
      <w:pPr>
        <w:spacing w:after="80"/>
        <w:jc w:val="center"/>
      </w:pPr>
      <w:r>
        <w:rPr>
          <w:rFonts w:ascii="Arial" w:cs="Arial" w:eastAsia="Arial" w:hAnsi="Arial"/>
          <w:color w:val="333333"/>
          <w:sz w:val="24"/>
          <w:szCs w:val="24"/>
        </w:rPr>
        <w:t xml:space="preserve">Description, Benefits, Dosage &amp; Research Overview</w:t>
      </w:r>
    </w:p>
    <w:p>
      <w:pPr>
        <w:spacing w:before="600"/>
      </w:pPr>
    </w:p>
    <w:p>
      <w:pPr>
        <w:spacing w:after="60"/>
        <w:jc w:val="center"/>
      </w:pPr>
      <w:r>
        <w:rPr>
          <w:rFonts w:ascii="Arial" w:cs="Arial" w:eastAsia="Arial" w:hAnsi="Arial"/>
          <w:b/>
          <w:bCs/>
          <w:color w:val="CC0000"/>
          <w:sz w:val="26"/>
          <w:szCs w:val="26"/>
        </w:rPr>
        <w:t xml:space="preserve">Iron Cell Research</w:t>
      </w:r>
    </w:p>
    <w:p>
      <w:pPr>
        <w:spacing w:after="60"/>
        <w:jc w:val="center"/>
      </w:pPr>
      <w:r>
        <w:rPr>
          <w:rFonts w:ascii="Arial" w:cs="Arial" w:eastAsia="Arial" w:hAnsi="Arial"/>
          <w:color w:val="333333"/>
          <w:sz w:val="22"/>
          <w:szCs w:val="22"/>
        </w:rPr>
        <w:t xml:space="preserve">IronCellResearch.com</w:t>
      </w:r>
    </w:p>
    <w:p>
      <w:pPr>
        <w:jc w:val="center"/>
      </w:pPr>
      <w:r>
        <w:rPr>
          <w:rFonts w:ascii="Arial" w:cs="Arial" w:eastAsia="Arial" w:hAnsi="Arial"/>
          <w:i/>
          <w:iCs/>
          <w:color w:val="999999"/>
          <w:sz w:val="20"/>
          <w:szCs w:val="20"/>
        </w:rPr>
        <w:t xml:space="preserve">For Research Use Only</w:t>
      </w:r>
    </w:p>
    <w:p>
      <w:pPr>
        <w:spacing w:before="400"/>
        <w:jc w:val="center"/>
      </w:pPr>
      <w:r>
        <w:drawing>
          <wp:inline distT="0" distB="0" distL="0" distR="0">
            <wp:extent cx="1333500" cy="885825"/>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33500" cy="885825"/>
                    </a:xfrm>
                    <a:prstGeom prst="rect">
                      <a:avLst/>
                    </a:prstGeom>
                  </pic:spPr>
                </pic:pic>
              </a:graphicData>
            </a:graphic>
          </wp:inline>
        </w:drawing>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CC0000"/>
          <w:sz w:val="36"/>
          <w:szCs w:val="36"/>
        </w:rPr>
        <w:t xml:space="preserve">Compound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Compound Name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Thymosin Alpha-1 (Talpha-1 / TA-1)</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Classification</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Synthetic 28-amino-acid N-acetylated thymic peptide (immunomodulator)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Amino Acid Sequence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Ac-SDAAVDTSSEITTKDLKEKKEVVEEAEN (28 amino acids)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Molecular Formula</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C129H215N33O55</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Molecular Weight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3108.3 g/mol</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CAS Number</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62304-98-7</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Biological Half-Life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Approximately 2 hours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Purity</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Greater than or equal to 99%</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Storage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Lyophilized, -20C, protected from light and moisture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Research Status</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Approved for clinical use in several regions (hepatitis, immune support); active global research interest</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Description</w:t>
      </w:r>
    </w:p>
    <w:p>
      <w:pPr>
        <w:spacing w:after="160" w:line="300"/>
      </w:pPr>
      <w:r>
        <w:rPr>
          <w:rFonts w:ascii="Arial" w:cs="Arial" w:eastAsia="Arial" w:hAnsi="Arial"/>
          <w:color w:val="000000"/>
          <w:sz w:val="22"/>
          <w:szCs w:val="22"/>
        </w:rPr>
        <w:t xml:space="preserve">Thymosin Alpha-1 (TA-1) is a synthetic peptide identical to a naturally occurring 28-amino-acid hormone first isolated from thymosin fraction 5 of the thymus gland. The molecule is acetylated at its N-terminus, a modification central to its biological activity. Despite its modest size, TA-1 is one of the most extensively characterized immunomodulatory peptides and is approved in a number of countries as an immune-supporting agent.</w:t>
      </w:r>
    </w:p>
    <w:p>
      <w:pPr>
        <w:spacing w:after="160" w:line="300"/>
      </w:pPr>
      <w:r>
        <w:rPr>
          <w:rFonts w:ascii="Arial" w:cs="Arial" w:eastAsia="Arial" w:hAnsi="Arial"/>
          <w:color w:val="000000"/>
          <w:sz w:val="22"/>
          <w:szCs w:val="22"/>
        </w:rPr>
        <w:t xml:space="preserve">Rather than simply stimulating or suppressing immunity, TA-1 acts as a broad immune modulator. It promotes the maturation and differentiation of T-cells, enhances the activity of dendritic cells and natural killer (NK) cells, and rebalances cytokine production. This makes it of particular research interest in states of immune dysfunction, exhaustion, or senescence, where restoring coordinated immune responses is the goal.</w:t>
      </w:r>
    </w:p>
    <w:p>
      <w:pPr>
        <w:spacing w:after="160" w:line="300"/>
      </w:pPr>
      <w:r>
        <w:rPr>
          <w:rFonts w:ascii="Arial" w:cs="Arial" w:eastAsia="Arial" w:hAnsi="Arial"/>
          <w:color w:val="000000"/>
          <w:sz w:val="22"/>
          <w:szCs w:val="22"/>
        </w:rPr>
        <w:t xml:space="preserve">TA-1 has attracted substantial research interest as an adjunct in chronic viral infection (notably hepatitis B and C), as an adjuvant in oncology and vaccination, and in critical illness such as sepsis. Its favorable tolerability and its ability to recalibrate rather than overdrive the immune system make it a versatile research peptide across infectious-disease, immunology, and oncology models.</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Mechanism of Action</w:t>
      </w:r>
    </w:p>
    <w:p>
      <w:pPr>
        <w:pStyle w:val="Heading2"/>
      </w:pPr>
      <w:r>
        <w:rPr>
          <w:rFonts w:ascii="Arial" w:cs="Arial" w:eastAsia="Arial" w:hAnsi="Arial"/>
          <w:b/>
          <w:bCs/>
          <w:color w:val="CC0000"/>
          <w:sz w:val="28"/>
          <w:szCs w:val="28"/>
        </w:rPr>
        <w:t xml:space="preserve">Toll-Like Receptor (TLR) Signaling</w:t>
      </w:r>
    </w:p>
    <w:p>
      <w:pPr>
        <w:spacing w:after="160" w:line="300"/>
      </w:pPr>
      <w:r>
        <w:rPr>
          <w:rFonts w:ascii="Arial" w:cs="Arial" w:eastAsia="Arial" w:hAnsi="Arial"/>
          <w:color w:val="000000"/>
          <w:sz w:val="22"/>
          <w:szCs w:val="22"/>
        </w:rPr>
        <w:t xml:space="preserve">A central mechanism of TA-1 is engagement of pattern-recognition signaling, particularly Toll-Like Receptors (TLR2 and TLR9) on dendritic cells and monocytes. Acting through MyD88-dependent pathways, TA-1 drives maturation of antigen-presenting cells and primes adaptive immune responses, improving recognition of pathogens and abnormal cells.</w:t>
      </w:r>
    </w:p>
    <w:p>
      <w:pPr>
        <w:pStyle w:val="Heading2"/>
      </w:pPr>
      <w:r>
        <w:rPr>
          <w:rFonts w:ascii="Arial" w:cs="Arial" w:eastAsia="Arial" w:hAnsi="Arial"/>
          <w:b/>
          <w:bCs/>
          <w:color w:val="CC0000"/>
          <w:sz w:val="28"/>
          <w:szCs w:val="28"/>
        </w:rPr>
        <w:t xml:space="preserve">T-Cell Maturation &amp; Differentiation</w:t>
      </w:r>
    </w:p>
    <w:p>
      <w:pPr>
        <w:spacing w:after="160" w:line="300"/>
      </w:pPr>
      <w:r>
        <w:rPr>
          <w:rFonts w:ascii="Arial" w:cs="Arial" w:eastAsia="Arial" w:hAnsi="Arial"/>
          <w:color w:val="000000"/>
          <w:sz w:val="22"/>
          <w:szCs w:val="22"/>
        </w:rPr>
        <w:t xml:space="preserve">TA-1 stimulates the maturation of T-lymphocytes from precursor cells and shifts the immune balance toward a Th1, cell-mediated response. It increases expression of T-cell surface markers and receptors, supports development of cytotoxic T-cells, and helps reverse the T-cell suppression associated with chronic infection, aging, and immunosuppressive therapy.</w:t>
      </w:r>
    </w:p>
    <w:p>
      <w:pPr>
        <w:pStyle w:val="Heading2"/>
      </w:pPr>
      <w:r>
        <w:rPr>
          <w:rFonts w:ascii="Arial" w:cs="Arial" w:eastAsia="Arial" w:hAnsi="Arial"/>
          <w:b/>
          <w:bCs/>
          <w:color w:val="CC0000"/>
          <w:sz w:val="28"/>
          <w:szCs w:val="28"/>
        </w:rPr>
        <w:t xml:space="preserve">Cytokine &amp; NK-Cell Modulation</w:t>
      </w:r>
    </w:p>
    <w:p>
      <w:pPr>
        <w:spacing w:after="160" w:line="300"/>
      </w:pPr>
      <w:r>
        <w:rPr>
          <w:rFonts w:ascii="Arial" w:cs="Arial" w:eastAsia="Arial" w:hAnsi="Arial"/>
          <w:color w:val="000000"/>
          <w:sz w:val="22"/>
          <w:szCs w:val="22"/>
        </w:rPr>
        <w:t xml:space="preserve">TA-1 modulates cytokine output, enhancing interferon-gamma, IL-2, and other Th1 cytokines while helping temper excessive pro-inflammatory signaling in dysregulated states. It also augments natural killer (NK) cell activity, strengthening innate antiviral and antitumor surveillance.</w:t>
      </w:r>
    </w:p>
    <w:p>
      <w:pPr>
        <w:pStyle w:val="Heading2"/>
      </w:pPr>
      <w:r>
        <w:rPr>
          <w:rFonts w:ascii="Arial" w:cs="Arial" w:eastAsia="Arial" w:hAnsi="Arial"/>
          <w:b/>
          <w:bCs/>
          <w:color w:val="CC0000"/>
          <w:sz w:val="28"/>
          <w:szCs w:val="28"/>
        </w:rPr>
        <w:t xml:space="preserve">Antioxidant &amp; Cytoprotective Effects</w:t>
      </w:r>
    </w:p>
    <w:p>
      <w:pPr>
        <w:spacing w:after="160" w:line="300"/>
      </w:pPr>
      <w:r>
        <w:rPr>
          <w:rFonts w:ascii="Arial" w:cs="Arial" w:eastAsia="Arial" w:hAnsi="Arial"/>
          <w:color w:val="000000"/>
          <w:sz w:val="22"/>
          <w:szCs w:val="22"/>
        </w:rPr>
        <w:t xml:space="preserve">Beyond its immune actions, TA-1 has shown antioxidant and cytoprotective properties in research models, reducing oxidative stress and protecting cells from apoptosis. These effects are studied in the context of liver protection, sepsis-associated organ injury, and recovery from immune-depleting treatments.</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Research Benefits</w:t>
      </w:r>
    </w:p>
    <w:p>
      <w:pPr>
        <w:pStyle w:val="Heading2"/>
      </w:pPr>
      <w:r>
        <w:rPr>
          <w:rFonts w:ascii="Arial" w:cs="Arial" w:eastAsia="Arial" w:hAnsi="Arial"/>
          <w:b/>
          <w:bCs/>
          <w:color w:val="CC0000"/>
          <w:sz w:val="28"/>
          <w:szCs w:val="28"/>
        </w:rPr>
        <w:t xml:space="preserve">Immune Restoration &amp; Modulation</w:t>
      </w:r>
    </w:p>
    <w:p>
      <w:pPr>
        <w:pStyle w:val="ListParagraph"/>
        <w:numPr>
          <w:ilvl w:val="0"/>
          <w:numId w:val="2"/>
        </w:numPr>
        <w:spacing w:after="80" w:line="300"/>
      </w:pPr>
      <w:r>
        <w:rPr>
          <w:rFonts w:ascii="Arial" w:cs="Arial" w:eastAsia="Arial" w:hAnsi="Arial"/>
          <w:b/>
          <w:bCs/>
          <w:color w:val="CC0000"/>
          <w:sz w:val="22"/>
          <w:szCs w:val="22"/>
        </w:rPr>
        <w:t xml:space="preserve">Immune Reconstitution: </w:t>
      </w:r>
      <w:r>
        <w:rPr>
          <w:rFonts w:ascii="Arial" w:cs="Arial" w:eastAsia="Arial" w:hAnsi="Arial"/>
          <w:color w:val="000000"/>
          <w:sz w:val="22"/>
          <w:szCs w:val="22"/>
        </w:rPr>
        <w:t xml:space="preserve">Supports recovery of T-cell number and function in immunosuppressed and immunosenescent research models, including post-chemotherapy and aging.</w:t>
      </w:r>
    </w:p>
    <w:p>
      <w:pPr>
        <w:pStyle w:val="ListParagraph"/>
        <w:numPr>
          <w:ilvl w:val="0"/>
          <w:numId w:val="2"/>
        </w:numPr>
        <w:spacing w:after="80" w:line="300"/>
      </w:pPr>
      <w:r>
        <w:rPr>
          <w:rFonts w:ascii="Arial" w:cs="Arial" w:eastAsia="Arial" w:hAnsi="Arial"/>
          <w:b/>
          <w:bCs/>
          <w:color w:val="CC0000"/>
          <w:sz w:val="22"/>
          <w:szCs w:val="22"/>
        </w:rPr>
        <w:t xml:space="preserve">Th1 Polarization: </w:t>
      </w:r>
      <w:r>
        <w:rPr>
          <w:rFonts w:ascii="Arial" w:cs="Arial" w:eastAsia="Arial" w:hAnsi="Arial"/>
          <w:color w:val="000000"/>
          <w:sz w:val="22"/>
          <w:szCs w:val="22"/>
        </w:rPr>
        <w:t xml:space="preserve">Shifts responses toward cell-mediated immunity, improving clearance of intracellular pathogens and abnormal cells in research models.</w:t>
      </w:r>
    </w:p>
    <w:p>
      <w:pPr>
        <w:pStyle w:val="ListParagraph"/>
        <w:numPr>
          <w:ilvl w:val="0"/>
          <w:numId w:val="2"/>
        </w:numPr>
        <w:spacing w:after="80" w:line="300"/>
      </w:pPr>
      <w:r>
        <w:rPr>
          <w:rFonts w:ascii="Arial" w:cs="Arial" w:eastAsia="Arial" w:hAnsi="Arial"/>
          <w:b/>
          <w:bCs/>
          <w:color w:val="CC0000"/>
          <w:sz w:val="22"/>
          <w:szCs w:val="22"/>
        </w:rPr>
        <w:t xml:space="preserve">Dendritic Cell Priming: </w:t>
      </w:r>
      <w:r>
        <w:rPr>
          <w:rFonts w:ascii="Arial" w:cs="Arial" w:eastAsia="Arial" w:hAnsi="Arial"/>
          <w:color w:val="000000"/>
          <w:sz w:val="22"/>
          <w:szCs w:val="22"/>
        </w:rPr>
        <w:t xml:space="preserve">Promotes maturation of dendritic cells and antigen presentation, enhancing initiation of adaptive immune responses.</w:t>
      </w:r>
    </w:p>
    <w:p>
      <w:pPr>
        <w:pStyle w:val="ListParagraph"/>
        <w:numPr>
          <w:ilvl w:val="0"/>
          <w:numId w:val="2"/>
        </w:numPr>
        <w:spacing w:after="80" w:line="300"/>
      </w:pPr>
      <w:r>
        <w:rPr>
          <w:rFonts w:ascii="Arial" w:cs="Arial" w:eastAsia="Arial" w:hAnsi="Arial"/>
          <w:b/>
          <w:bCs/>
          <w:color w:val="CC0000"/>
          <w:sz w:val="22"/>
          <w:szCs w:val="22"/>
        </w:rPr>
        <w:t xml:space="preserve">Immune Balancing: </w:t>
      </w:r>
      <w:r>
        <w:rPr>
          <w:rFonts w:ascii="Arial" w:cs="Arial" w:eastAsia="Arial" w:hAnsi="Arial"/>
          <w:color w:val="000000"/>
          <w:sz w:val="22"/>
          <w:szCs w:val="22"/>
        </w:rPr>
        <w:t xml:space="preserve">Helps recalibrate over- or under-active immune states rather than simply stimulating, supporting coordinated immune function.</w:t>
      </w:r>
    </w:p>
    <w:p>
      <w:pPr>
        <w:pStyle w:val="Heading2"/>
      </w:pPr>
      <w:r>
        <w:rPr>
          <w:rFonts w:ascii="Arial" w:cs="Arial" w:eastAsia="Arial" w:hAnsi="Arial"/>
          <w:b/>
          <w:bCs/>
          <w:color w:val="CC0000"/>
          <w:sz w:val="28"/>
          <w:szCs w:val="28"/>
        </w:rPr>
        <w:t xml:space="preserve">Antiviral &amp; Hepatic Research</w:t>
      </w:r>
    </w:p>
    <w:p>
      <w:pPr>
        <w:pStyle w:val="ListParagraph"/>
        <w:numPr>
          <w:ilvl w:val="0"/>
          <w:numId w:val="2"/>
        </w:numPr>
        <w:spacing w:after="80" w:line="300"/>
      </w:pPr>
      <w:r>
        <w:rPr>
          <w:rFonts w:ascii="Arial" w:cs="Arial" w:eastAsia="Arial" w:hAnsi="Arial"/>
          <w:b/>
          <w:bCs/>
          <w:color w:val="CC0000"/>
          <w:sz w:val="22"/>
          <w:szCs w:val="22"/>
        </w:rPr>
        <w:t xml:space="preserve">Hepatitis B &amp; C: </w:t>
      </w:r>
      <w:r>
        <w:rPr>
          <w:rFonts w:ascii="Arial" w:cs="Arial" w:eastAsia="Arial" w:hAnsi="Arial"/>
          <w:color w:val="000000"/>
          <w:sz w:val="22"/>
          <w:szCs w:val="22"/>
        </w:rPr>
        <w:t xml:space="preserve">Studied extensively as an adjunct in chronic viral hepatitis, where it is associated with improved viral and biochemical responses in clinical research.</w:t>
      </w:r>
    </w:p>
    <w:p>
      <w:pPr>
        <w:pStyle w:val="ListParagraph"/>
        <w:numPr>
          <w:ilvl w:val="0"/>
          <w:numId w:val="2"/>
        </w:numPr>
        <w:spacing w:after="80" w:line="300"/>
      </w:pPr>
      <w:r>
        <w:rPr>
          <w:rFonts w:ascii="Arial" w:cs="Arial" w:eastAsia="Arial" w:hAnsi="Arial"/>
          <w:b/>
          <w:bCs/>
          <w:color w:val="CC0000"/>
          <w:sz w:val="22"/>
          <w:szCs w:val="22"/>
        </w:rPr>
        <w:t xml:space="preserve">Viral Clearance: </w:t>
      </w:r>
      <w:r>
        <w:rPr>
          <w:rFonts w:ascii="Arial" w:cs="Arial" w:eastAsia="Arial" w:hAnsi="Arial"/>
          <w:color w:val="000000"/>
          <w:sz w:val="22"/>
          <w:szCs w:val="22"/>
        </w:rPr>
        <w:t xml:space="preserve">Enhances cytotoxic T-cell and NK-cell responses important for clearing virally infected cells.</w:t>
      </w:r>
    </w:p>
    <w:p>
      <w:pPr>
        <w:pStyle w:val="ListParagraph"/>
        <w:numPr>
          <w:ilvl w:val="0"/>
          <w:numId w:val="2"/>
        </w:numPr>
        <w:spacing w:after="80" w:line="300"/>
      </w:pPr>
      <w:r>
        <w:rPr>
          <w:rFonts w:ascii="Arial" w:cs="Arial" w:eastAsia="Arial" w:hAnsi="Arial"/>
          <w:b/>
          <w:bCs/>
          <w:color w:val="CC0000"/>
          <w:sz w:val="22"/>
          <w:szCs w:val="22"/>
        </w:rPr>
        <w:t xml:space="preserve">Interferon Support: </w:t>
      </w:r>
      <w:r>
        <w:rPr>
          <w:rFonts w:ascii="Arial" w:cs="Arial" w:eastAsia="Arial" w:hAnsi="Arial"/>
          <w:color w:val="000000"/>
          <w:sz w:val="22"/>
          <w:szCs w:val="22"/>
        </w:rPr>
        <w:t xml:space="preserve">Augments endogenous interferon pathways that are central to antiviral defense.</w:t>
      </w:r>
    </w:p>
    <w:p>
      <w:pPr>
        <w:pStyle w:val="Heading2"/>
      </w:pPr>
      <w:r>
        <w:rPr>
          <w:rFonts w:ascii="Arial" w:cs="Arial" w:eastAsia="Arial" w:hAnsi="Arial"/>
          <w:b/>
          <w:bCs/>
          <w:color w:val="CC0000"/>
          <w:sz w:val="28"/>
          <w:szCs w:val="28"/>
        </w:rPr>
        <w:t xml:space="preserve">Oncology &amp; Immuno-Oncology</w:t>
      </w:r>
    </w:p>
    <w:p>
      <w:pPr>
        <w:pStyle w:val="ListParagraph"/>
        <w:numPr>
          <w:ilvl w:val="0"/>
          <w:numId w:val="2"/>
        </w:numPr>
        <w:spacing w:after="80" w:line="300"/>
      </w:pPr>
      <w:r>
        <w:rPr>
          <w:rFonts w:ascii="Arial" w:cs="Arial" w:eastAsia="Arial" w:hAnsi="Arial"/>
          <w:b/>
          <w:bCs/>
          <w:color w:val="CC0000"/>
          <w:sz w:val="22"/>
          <w:szCs w:val="22"/>
        </w:rPr>
        <w:t xml:space="preserve">Chemotherapy Adjunct: </w:t>
      </w:r>
      <w:r>
        <w:rPr>
          <w:rFonts w:ascii="Arial" w:cs="Arial" w:eastAsia="Arial" w:hAnsi="Arial"/>
          <w:color w:val="000000"/>
          <w:sz w:val="22"/>
          <w:szCs w:val="22"/>
        </w:rPr>
        <w:t xml:space="preserve">Investigated alongside chemotherapy to help maintain immune competence and reduce treatment-related immunosuppression.</w:t>
      </w:r>
    </w:p>
    <w:p>
      <w:pPr>
        <w:pStyle w:val="ListParagraph"/>
        <w:numPr>
          <w:ilvl w:val="0"/>
          <w:numId w:val="2"/>
        </w:numPr>
        <w:spacing w:after="80" w:line="300"/>
      </w:pPr>
      <w:r>
        <w:rPr>
          <w:rFonts w:ascii="Arial" w:cs="Arial" w:eastAsia="Arial" w:hAnsi="Arial"/>
          <w:b/>
          <w:bCs/>
          <w:color w:val="CC0000"/>
          <w:sz w:val="22"/>
          <w:szCs w:val="22"/>
        </w:rPr>
        <w:t xml:space="preserve">NK-Cell Activity: </w:t>
      </w:r>
      <w:r>
        <w:rPr>
          <w:rFonts w:ascii="Arial" w:cs="Arial" w:eastAsia="Arial" w:hAnsi="Arial"/>
          <w:color w:val="000000"/>
          <w:sz w:val="22"/>
          <w:szCs w:val="22"/>
        </w:rPr>
        <w:t xml:space="preserve">Increases natural killer cell cytotoxicity, a key component of antitumor immune surveillance.</w:t>
      </w:r>
    </w:p>
    <w:p>
      <w:pPr>
        <w:pStyle w:val="ListParagraph"/>
        <w:numPr>
          <w:ilvl w:val="0"/>
          <w:numId w:val="2"/>
        </w:numPr>
        <w:spacing w:after="80" w:line="300"/>
      </w:pPr>
      <w:r>
        <w:rPr>
          <w:rFonts w:ascii="Arial" w:cs="Arial" w:eastAsia="Arial" w:hAnsi="Arial"/>
          <w:b/>
          <w:bCs/>
          <w:color w:val="CC0000"/>
          <w:sz w:val="22"/>
          <w:szCs w:val="22"/>
        </w:rPr>
        <w:t xml:space="preserve">Immune Recovery: </w:t>
      </w:r>
      <w:r>
        <w:rPr>
          <w:rFonts w:ascii="Arial" w:cs="Arial" w:eastAsia="Arial" w:hAnsi="Arial"/>
          <w:color w:val="000000"/>
          <w:sz w:val="22"/>
          <w:szCs w:val="22"/>
        </w:rPr>
        <w:t xml:space="preserve">Supports reconstitution of immune cell populations following immune-depleting cancer therapies.</w:t>
      </w:r>
    </w:p>
    <w:p>
      <w:pPr>
        <w:pStyle w:val="Heading2"/>
      </w:pPr>
      <w:r>
        <w:rPr>
          <w:rFonts w:ascii="Arial" w:cs="Arial" w:eastAsia="Arial" w:hAnsi="Arial"/>
          <w:b/>
          <w:bCs/>
          <w:color w:val="CC0000"/>
          <w:sz w:val="28"/>
          <w:szCs w:val="28"/>
        </w:rPr>
        <w:t xml:space="preserve">Critical Illness &amp; Sepsis</w:t>
      </w:r>
    </w:p>
    <w:p>
      <w:pPr>
        <w:pStyle w:val="ListParagraph"/>
        <w:numPr>
          <w:ilvl w:val="0"/>
          <w:numId w:val="2"/>
        </w:numPr>
        <w:spacing w:after="80" w:line="300"/>
      </w:pPr>
      <w:r>
        <w:rPr>
          <w:rFonts w:ascii="Arial" w:cs="Arial" w:eastAsia="Arial" w:hAnsi="Arial"/>
          <w:b/>
          <w:bCs/>
          <w:color w:val="CC0000"/>
          <w:sz w:val="22"/>
          <w:szCs w:val="22"/>
        </w:rPr>
        <w:t xml:space="preserve">Sepsis Research: </w:t>
      </w:r>
      <w:r>
        <w:rPr>
          <w:rFonts w:ascii="Arial" w:cs="Arial" w:eastAsia="Arial" w:hAnsi="Arial"/>
          <w:color w:val="000000"/>
          <w:sz w:val="22"/>
          <w:szCs w:val="22"/>
        </w:rPr>
        <w:t xml:space="preserve">Studied in severe infection and sepsis, where it is associated with restored immune balance and improved outcomes in clinical trials.</w:t>
      </w:r>
    </w:p>
    <w:p>
      <w:pPr>
        <w:pStyle w:val="ListParagraph"/>
        <w:numPr>
          <w:ilvl w:val="0"/>
          <w:numId w:val="2"/>
        </w:numPr>
        <w:spacing w:after="80" w:line="300"/>
      </w:pPr>
      <w:r>
        <w:rPr>
          <w:rFonts w:ascii="Arial" w:cs="Arial" w:eastAsia="Arial" w:hAnsi="Arial"/>
          <w:b/>
          <w:bCs/>
          <w:color w:val="CC0000"/>
          <w:sz w:val="22"/>
          <w:szCs w:val="22"/>
        </w:rPr>
        <w:t xml:space="preserve">Organ Protection: </w:t>
      </w:r>
      <w:r>
        <w:rPr>
          <w:rFonts w:ascii="Arial" w:cs="Arial" w:eastAsia="Arial" w:hAnsi="Arial"/>
          <w:color w:val="000000"/>
          <w:sz w:val="22"/>
          <w:szCs w:val="22"/>
        </w:rPr>
        <w:t xml:space="preserve">Antioxidant and cytoprotective actions are studied for limiting sepsis-associated organ injury.</w:t>
      </w:r>
    </w:p>
    <w:p>
      <w:pPr>
        <w:pStyle w:val="ListParagraph"/>
        <w:numPr>
          <w:ilvl w:val="0"/>
          <w:numId w:val="2"/>
        </w:numPr>
        <w:spacing w:after="80" w:line="300"/>
      </w:pPr>
      <w:r>
        <w:rPr>
          <w:rFonts w:ascii="Arial" w:cs="Arial" w:eastAsia="Arial" w:hAnsi="Arial"/>
          <w:b/>
          <w:bCs/>
          <w:color w:val="CC0000"/>
          <w:sz w:val="22"/>
          <w:szCs w:val="22"/>
        </w:rPr>
        <w:t xml:space="preserve">Immune Reset: </w:t>
      </w:r>
      <w:r>
        <w:rPr>
          <w:rFonts w:ascii="Arial" w:cs="Arial" w:eastAsia="Arial" w:hAnsi="Arial"/>
          <w:color w:val="000000"/>
          <w:sz w:val="22"/>
          <w:szCs w:val="22"/>
        </w:rPr>
        <w:t xml:space="preserve">Helps counter the immune exhaustion that characterizes prolonged critical illness.</w:t>
      </w:r>
    </w:p>
    <w:p>
      <w:pPr>
        <w:pStyle w:val="Heading2"/>
      </w:pPr>
      <w:r>
        <w:rPr>
          <w:rFonts w:ascii="Arial" w:cs="Arial" w:eastAsia="Arial" w:hAnsi="Arial"/>
          <w:b/>
          <w:bCs/>
          <w:color w:val="CC0000"/>
          <w:sz w:val="28"/>
          <w:szCs w:val="28"/>
        </w:rPr>
        <w:t xml:space="preserve">Vaccine &amp; Aging Research</w:t>
      </w:r>
    </w:p>
    <w:p>
      <w:pPr>
        <w:pStyle w:val="ListParagraph"/>
        <w:numPr>
          <w:ilvl w:val="0"/>
          <w:numId w:val="2"/>
        </w:numPr>
        <w:spacing w:after="80" w:line="300"/>
      </w:pPr>
      <w:r>
        <w:rPr>
          <w:rFonts w:ascii="Arial" w:cs="Arial" w:eastAsia="Arial" w:hAnsi="Arial"/>
          <w:b/>
          <w:bCs/>
          <w:color w:val="CC0000"/>
          <w:sz w:val="22"/>
          <w:szCs w:val="22"/>
        </w:rPr>
        <w:t xml:space="preserve">Vaccine Response: </w:t>
      </w:r>
      <w:r>
        <w:rPr>
          <w:rFonts w:ascii="Arial" w:cs="Arial" w:eastAsia="Arial" w:hAnsi="Arial"/>
          <w:color w:val="000000"/>
          <w:sz w:val="22"/>
          <w:szCs w:val="22"/>
        </w:rPr>
        <w:t xml:space="preserve">Studied as a vaccine adjuvant to enhance antibody and cell-mediated responses, particularly in older or immunocompromised research subjects.</w:t>
      </w:r>
    </w:p>
    <w:p>
      <w:pPr>
        <w:pStyle w:val="ListParagraph"/>
        <w:numPr>
          <w:ilvl w:val="0"/>
          <w:numId w:val="2"/>
        </w:numPr>
        <w:spacing w:after="80" w:line="300"/>
      </w:pPr>
      <w:r>
        <w:rPr>
          <w:rFonts w:ascii="Arial" w:cs="Arial" w:eastAsia="Arial" w:hAnsi="Arial"/>
          <w:b/>
          <w:bCs/>
          <w:color w:val="CC0000"/>
          <w:sz w:val="22"/>
          <w:szCs w:val="22"/>
        </w:rPr>
        <w:t xml:space="preserve">Immunosenescence: </w:t>
      </w:r>
      <w:r>
        <w:rPr>
          <w:rFonts w:ascii="Arial" w:cs="Arial" w:eastAsia="Arial" w:hAnsi="Arial"/>
          <w:color w:val="000000"/>
          <w:sz w:val="22"/>
          <w:szCs w:val="22"/>
        </w:rPr>
        <w:t xml:space="preserve">Investigated for restoring aspects of immune function that decline with age.</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Dosage &amp; Administration</w:t>
      </w:r>
    </w:p>
    <w:p>
      <w:pPr>
        <w:spacing w:after="160" w:line="300"/>
      </w:pPr>
      <w:r>
        <w:rPr>
          <w:rFonts w:ascii="Arial" w:cs="Arial" w:eastAsia="Arial" w:hAnsi="Arial"/>
          <w:color w:val="000000"/>
          <w:sz w:val="22"/>
          <w:szCs w:val="22"/>
        </w:rPr>
        <w:t xml:space="preserve">The following dosage information is provided for research reference purposes only. Thymosin Alpha-1 is typically administered by subcutaneous injection.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Protocol</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Dose Range</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Route</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Frequency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Introductory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750 mcg - 1 mg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2x weekly</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Standard</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1.6 mg</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2x weekly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Intensive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1.6 mg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Once daily (short cycles)</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Maintenance</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1.6 mg</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1-2x weekly</w:t>
            </w:r>
          </w:p>
        </w:tc>
      </w:tr>
    </w:tbl>
    <w:p>
      <w:pPr>
        <w:spacing w:before="200"/>
      </w:pPr>
    </w:p>
    <w:p>
      <w:pPr>
        <w:pStyle w:val="Heading2"/>
      </w:pPr>
      <w:r>
        <w:rPr>
          <w:rFonts w:ascii="Arial" w:cs="Arial" w:eastAsia="Arial" w:hAnsi="Arial"/>
          <w:b/>
          <w:bCs/>
          <w:color w:val="CC0000"/>
          <w:sz w:val="28"/>
          <w:szCs w:val="28"/>
        </w:rPr>
        <w:t xml:space="preserve">Reconstitution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Solvent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Sterile bacteriostatic water</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Reconstitution</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1-2 mL BAC water per vial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Mixing</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Gently swirl until dissolved, do not shake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Storage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Refrigerate at 2-8C, use within 21 days once reconstituted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Injection Site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Subcutaneous (abdomen, thigh), rotate sites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Timing</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SubQ: rotate injection sites; keep a consistent dosing schedule (commonly 2x weekly)</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Storage Note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Keep reconstituted Thymosin Alpha-1 refrigerated and protected from light; swirl gently and avoid vigorous shaking.</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Safety Profile</w:t>
      </w:r>
    </w:p>
    <w:p>
      <w:pPr>
        <w:spacing w:after="160" w:line="300"/>
      </w:pPr>
      <w:r>
        <w:rPr>
          <w:rFonts w:ascii="Arial" w:cs="Arial" w:eastAsia="Arial" w:hAnsi="Arial"/>
          <w:color w:val="000000"/>
          <w:sz w:val="22"/>
          <w:szCs w:val="22"/>
        </w:rPr>
        <w:t xml:space="preserve">Thymosin Alpha-1 has demonstrated an excellent safety profile across extensive preclinical and clinical research:</w:t>
      </w:r>
    </w:p>
    <w:p>
      <w:pPr>
        <w:pStyle w:val="ListParagraph"/>
        <w:numPr>
          <w:ilvl w:val="0"/>
          <w:numId w:val="2"/>
        </w:numPr>
        <w:spacing w:after="80" w:line="300"/>
      </w:pPr>
      <w:r>
        <w:rPr>
          <w:rFonts w:ascii="Arial" w:cs="Arial" w:eastAsia="Arial" w:hAnsi="Arial"/>
          <w:b/>
          <w:bCs/>
          <w:color w:val="CC0000"/>
          <w:sz w:val="22"/>
          <w:szCs w:val="22"/>
        </w:rPr>
        <w:t xml:space="preserve">General Tolerability: </w:t>
      </w:r>
      <w:r>
        <w:rPr>
          <w:rFonts w:ascii="Arial" w:cs="Arial" w:eastAsia="Arial" w:hAnsi="Arial"/>
          <w:color w:val="000000"/>
          <w:sz w:val="22"/>
          <w:szCs w:val="22"/>
        </w:rPr>
        <w:t xml:space="preserve">Well tolerated across a wide dose range in research and clinical settings. As a synthetic copy of an endogenous thymic peptide, it has inherent biocompatibility.</w:t>
      </w:r>
    </w:p>
    <w:p>
      <w:pPr>
        <w:pStyle w:val="ListParagraph"/>
        <w:numPr>
          <w:ilvl w:val="0"/>
          <w:numId w:val="2"/>
        </w:numPr>
        <w:spacing w:after="80" w:line="300"/>
      </w:pPr>
      <w:r>
        <w:rPr>
          <w:rFonts w:ascii="Arial" w:cs="Arial" w:eastAsia="Arial" w:hAnsi="Arial"/>
          <w:b/>
          <w:bCs/>
          <w:color w:val="CC0000"/>
          <w:sz w:val="22"/>
          <w:szCs w:val="22"/>
        </w:rPr>
        <w:t xml:space="preserve">Immune Balancing: </w:t>
      </w:r>
      <w:r>
        <w:rPr>
          <w:rFonts w:ascii="Arial" w:cs="Arial" w:eastAsia="Arial" w:hAnsi="Arial"/>
          <w:color w:val="000000"/>
          <w:sz w:val="22"/>
          <w:szCs w:val="22"/>
        </w:rPr>
        <w:t xml:space="preserve">Modulates rather than over-activates immunity; cytokine-storm-type overstimulation is not typically observed at standard research doses.</w:t>
      </w:r>
    </w:p>
    <w:p>
      <w:pPr>
        <w:pStyle w:val="ListParagraph"/>
        <w:numPr>
          <w:ilvl w:val="0"/>
          <w:numId w:val="2"/>
        </w:numPr>
        <w:spacing w:after="80" w:line="300"/>
      </w:pPr>
      <w:r>
        <w:rPr>
          <w:rFonts w:ascii="Arial" w:cs="Arial" w:eastAsia="Arial" w:hAnsi="Arial"/>
          <w:b/>
          <w:bCs/>
          <w:color w:val="CC0000"/>
          <w:sz w:val="22"/>
          <w:szCs w:val="22"/>
        </w:rPr>
        <w:t xml:space="preserve">No Hormonal Disruption: </w:t>
      </w:r>
      <w:r>
        <w:rPr>
          <w:rFonts w:ascii="Arial" w:cs="Arial" w:eastAsia="Arial" w:hAnsi="Arial"/>
          <w:color w:val="000000"/>
          <w:sz w:val="22"/>
          <w:szCs w:val="22"/>
        </w:rPr>
        <w:t xml:space="preserve">Does not act on hormonal axes; no reported effects on appetite, sexual function, or endocrine balance.</w:t>
      </w:r>
    </w:p>
    <w:p>
      <w:pPr>
        <w:pStyle w:val="ListParagraph"/>
        <w:numPr>
          <w:ilvl w:val="0"/>
          <w:numId w:val="2"/>
        </w:numPr>
        <w:spacing w:after="80" w:line="300"/>
      </w:pPr>
      <w:r>
        <w:rPr>
          <w:rFonts w:ascii="Arial" w:cs="Arial" w:eastAsia="Arial" w:hAnsi="Arial"/>
          <w:b/>
          <w:bCs/>
          <w:color w:val="CC0000"/>
          <w:sz w:val="22"/>
          <w:szCs w:val="22"/>
        </w:rPr>
        <w:t xml:space="preserve">Injection Site: </w:t>
      </w:r>
      <w:r>
        <w:rPr>
          <w:rFonts w:ascii="Arial" w:cs="Arial" w:eastAsia="Arial" w:hAnsi="Arial"/>
          <w:color w:val="000000"/>
          <w:sz w:val="22"/>
          <w:szCs w:val="22"/>
        </w:rPr>
        <w:t xml:space="preserve">Mild, transient injection-site reactions are possible with subcutaneous administration.</w:t>
      </w:r>
    </w:p>
    <w:p>
      <w:pPr>
        <w:pStyle w:val="ListParagraph"/>
        <w:numPr>
          <w:ilvl w:val="0"/>
          <w:numId w:val="2"/>
        </w:numPr>
        <w:spacing w:after="80" w:line="300"/>
      </w:pPr>
      <w:r>
        <w:rPr>
          <w:rFonts w:ascii="Arial" w:cs="Arial" w:eastAsia="Arial" w:hAnsi="Arial"/>
          <w:b/>
          <w:bCs/>
          <w:color w:val="CC0000"/>
          <w:sz w:val="22"/>
          <w:szCs w:val="22"/>
        </w:rPr>
        <w:t xml:space="preserve">Autoimmune Caution: </w:t>
      </w:r>
      <w:r>
        <w:rPr>
          <w:rFonts w:ascii="Arial" w:cs="Arial" w:eastAsia="Arial" w:hAnsi="Arial"/>
          <w:color w:val="000000"/>
          <w:sz w:val="22"/>
          <w:szCs w:val="22"/>
        </w:rPr>
        <w:t xml:space="preserve">Because it enhances cell-mediated immunity, use is approached cautiously in active autoimmune research models.</w:t>
      </w:r>
    </w:p>
    <w:p>
      <w:pPr>
        <w:pStyle w:val="ListParagraph"/>
        <w:numPr>
          <w:ilvl w:val="0"/>
          <w:numId w:val="2"/>
        </w:numPr>
        <w:spacing w:after="80" w:line="300"/>
      </w:pPr>
      <w:r>
        <w:rPr>
          <w:rFonts w:ascii="Arial" w:cs="Arial" w:eastAsia="Arial" w:hAnsi="Arial"/>
          <w:b/>
          <w:bCs/>
          <w:color w:val="CC0000"/>
          <w:sz w:val="22"/>
          <w:szCs w:val="22"/>
        </w:rPr>
        <w:t xml:space="preserve">Drug Interactions: </w:t>
      </w:r>
      <w:r>
        <w:rPr>
          <w:rFonts w:ascii="Arial" w:cs="Arial" w:eastAsia="Arial" w:hAnsi="Arial"/>
          <w:color w:val="000000"/>
          <w:sz w:val="22"/>
          <w:szCs w:val="22"/>
        </w:rPr>
        <w:t xml:space="preserve">No significant interactions identified; frequently studied alongside antiviral and chemotherapeutic agents as an adjunct.</w:t>
      </w:r>
    </w:p>
    <w:p>
      <w:pPr>
        <w:pStyle w:val="ListParagraph"/>
        <w:numPr>
          <w:ilvl w:val="0"/>
          <w:numId w:val="2"/>
        </w:numPr>
        <w:spacing w:after="80" w:line="300"/>
      </w:pPr>
      <w:r>
        <w:rPr>
          <w:rFonts w:ascii="Arial" w:cs="Arial" w:eastAsia="Arial" w:hAnsi="Arial"/>
          <w:b/>
          <w:bCs/>
          <w:color w:val="CC0000"/>
          <w:sz w:val="22"/>
          <w:szCs w:val="22"/>
        </w:rPr>
        <w:t xml:space="preserve">Pregnancy &amp; Nursing: </w:t>
      </w:r>
      <w:r>
        <w:rPr>
          <w:rFonts w:ascii="Arial" w:cs="Arial" w:eastAsia="Arial" w:hAnsi="Arial"/>
          <w:color w:val="000000"/>
          <w:sz w:val="22"/>
          <w:szCs w:val="22"/>
        </w:rPr>
        <w:t xml:space="preserve">Insufficient safety data; use not recommended during pregnancy or lactation.</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Key References</w:t>
      </w:r>
    </w:p>
    <w:p>
      <w:pPr>
        <w:pStyle w:val="ListParagraph"/>
        <w:numPr>
          <w:ilvl w:val="0"/>
          <w:numId w:val="3"/>
        </w:numPr>
        <w:spacing w:after="80" w:line="300"/>
      </w:pPr>
      <w:r>
        <w:rPr>
          <w:rFonts w:ascii="Arial" w:cs="Arial" w:eastAsia="Arial" w:hAnsi="Arial"/>
          <w:color w:val="000000"/>
          <w:sz w:val="20"/>
          <w:szCs w:val="20"/>
        </w:rPr>
        <w:t xml:space="preserve">Garaci E, et al. Thymosin alpha-1: From Bench to Bedside. Annals of the New York Academy of Sciences. 2007;1112:225-234.</w:t>
      </w:r>
    </w:p>
    <w:p>
      <w:pPr>
        <w:pStyle w:val="ListParagraph"/>
        <w:numPr>
          <w:ilvl w:val="0"/>
          <w:numId w:val="3"/>
        </w:numPr>
        <w:spacing w:after="80" w:line="300"/>
      </w:pPr>
      <w:r>
        <w:rPr>
          <w:rFonts w:ascii="Arial" w:cs="Arial" w:eastAsia="Arial" w:hAnsi="Arial"/>
          <w:color w:val="000000"/>
          <w:sz w:val="20"/>
          <w:szCs w:val="20"/>
        </w:rPr>
        <w:t xml:space="preserve">Romani L, et al. Thymosin alpha-1 Activates Dendritic Cells for Antifungal Th1 Resistance through Toll-like Receptor Signaling. Blood. 2004;103(11):4232-4239.</w:t>
      </w:r>
    </w:p>
    <w:p>
      <w:pPr>
        <w:pStyle w:val="ListParagraph"/>
        <w:numPr>
          <w:ilvl w:val="0"/>
          <w:numId w:val="3"/>
        </w:numPr>
        <w:spacing w:after="80" w:line="300"/>
      </w:pPr>
      <w:r>
        <w:rPr>
          <w:rFonts w:ascii="Arial" w:cs="Arial" w:eastAsia="Arial" w:hAnsi="Arial"/>
          <w:color w:val="000000"/>
          <w:sz w:val="20"/>
          <w:szCs w:val="20"/>
        </w:rPr>
        <w:t xml:space="preserve">Camerini R, Garaci E. Historical Review of Thymosin alpha-1 in Infectious Diseases. Expert Opinion on Biological Therapy. 2015;15(S1):S117-S127.</w:t>
      </w:r>
    </w:p>
    <w:p>
      <w:pPr>
        <w:pStyle w:val="ListParagraph"/>
        <w:numPr>
          <w:ilvl w:val="0"/>
          <w:numId w:val="3"/>
        </w:numPr>
        <w:spacing w:after="80" w:line="300"/>
      </w:pPr>
      <w:r>
        <w:rPr>
          <w:rFonts w:ascii="Arial" w:cs="Arial" w:eastAsia="Arial" w:hAnsi="Arial"/>
          <w:color w:val="000000"/>
          <w:sz w:val="20"/>
          <w:szCs w:val="20"/>
        </w:rPr>
        <w:t xml:space="preserve">King R, Tuthill C. Immune Modulation with Thymosin alpha-1 Treatment. Vitamins and Hormones. 2016;102:151-178.</w:t>
      </w:r>
    </w:p>
    <w:p>
      <w:pPr>
        <w:pStyle w:val="ListParagraph"/>
        <w:numPr>
          <w:ilvl w:val="0"/>
          <w:numId w:val="3"/>
        </w:numPr>
        <w:spacing w:after="80" w:line="300"/>
      </w:pPr>
      <w:r>
        <w:rPr>
          <w:rFonts w:ascii="Arial" w:cs="Arial" w:eastAsia="Arial" w:hAnsi="Arial"/>
          <w:color w:val="000000"/>
          <w:sz w:val="20"/>
          <w:szCs w:val="20"/>
        </w:rPr>
        <w:t xml:space="preserve">Pica F, et al. Thymosin alpha-1 in Chronic Hepatitis: Mechanisms and Clinical Evidence. Clinical and Experimental Immunology. 2018;193(3):310-320.</w:t>
      </w:r>
    </w:p>
    <w:p>
      <w:pPr>
        <w:pStyle w:val="ListParagraph"/>
        <w:numPr>
          <w:ilvl w:val="0"/>
          <w:numId w:val="3"/>
        </w:numPr>
        <w:spacing w:after="80" w:line="300"/>
      </w:pPr>
      <w:r>
        <w:rPr>
          <w:rFonts w:ascii="Arial" w:cs="Arial" w:eastAsia="Arial" w:hAnsi="Arial"/>
          <w:color w:val="000000"/>
          <w:sz w:val="20"/>
          <w:szCs w:val="20"/>
        </w:rPr>
        <w:t xml:space="preserve">Liu F, et al. Thymosin alpha-1 in the Treatment of Sepsis: A Multicenter Randomized Trial. Critical Care. 2023;27:451.</w:t>
      </w:r>
    </w:p>
    <w:p>
      <w:pPr>
        <w:pStyle w:val="ListParagraph"/>
        <w:numPr>
          <w:ilvl w:val="0"/>
          <w:numId w:val="3"/>
        </w:numPr>
        <w:spacing w:after="80" w:line="300"/>
      </w:pPr>
      <w:r>
        <w:rPr>
          <w:rFonts w:ascii="Arial" w:cs="Arial" w:eastAsia="Arial" w:hAnsi="Arial"/>
          <w:color w:val="000000"/>
          <w:sz w:val="20"/>
          <w:szCs w:val="20"/>
        </w:rPr>
        <w:t xml:space="preserve">Costantini C, et al. A Reappraisal of Thymosin alpha-1 in Cancer Therapy. Frontiers in Oncology. 2019;9:873.</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Contact &amp;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Company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Iron Cell Research</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Website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IronCellResearch.com</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Email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orders@ironcellresearch.com</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Product Support</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Available via website contact form</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Disclaimer</w:t>
      </w:r>
    </w:p>
    <w:p>
      <w:pPr>
        <w:spacing w:after="160" w:line="300"/>
      </w:pPr>
      <w:r>
        <w:rPr>
          <w:rFonts w:ascii="Arial" w:cs="Arial" w:eastAsia="Arial" w:hAnsi="Arial"/>
          <w:color w:val="000000"/>
          <w:sz w:val="22"/>
          <w:szCs w:val="22"/>
        </w:rPr>
        <w:t xml:space="preserve">This document is intended for informational and research purposes only. Thymosin Alpha-1 is sold as a research compound and is not intended for human consumption. The information provided herein does not constitute medical advice, diagnosis, or treatment recommendations. All research applications should comply with applicable institutional, local, and federal regulations. Iron Cell Research makes no claims regarding the therapeutic efficacy of Thymosin Alpha-1 for any medical condition. Researchers should consult with qualified healthcare professionals and institutional review boards before initiating any research protocols involving human subjects.</w:t>
      </w:r>
    </w:p>
    <w:p>
      <w:pPr>
        <w:spacing w:before="300"/>
        <w:jc w:val="center"/>
      </w:pPr>
      <w:r>
        <w:rPr>
          <w:rFonts w:ascii="Arial" w:cs="Arial" w:eastAsia="Arial" w:hAnsi="Arial"/>
          <w:i/>
          <w:iCs/>
          <w:color w:val="999999"/>
          <w:sz w:val="20"/>
          <w:szCs w:val="20"/>
        </w:rPr>
        <w:t xml:space="preserve">Iron Cell Research - For Research Use Only</w:t>
      </w:r>
    </w:p>
    <w:p>
      <w:pPr>
        <w:spacing w:before="100"/>
        <w:jc w:val="center"/>
      </w:pPr>
      <w:r>
        <w:drawing>
          <wp:inline distT="0" distB="0" distL="0" distR="0">
            <wp:extent cx="857250" cy="5715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571500"/>
                    </a:xfrm>
                    <a:prstGeom prst="rect">
                      <a:avLst/>
                    </a:prstGeom>
                  </pic:spPr>
                </pic:pic>
              </a:graphicData>
            </a:graphic>
          </wp:inline>
        </w:drawing>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C0000" w:sz="4" w:space="1"/>
      </w:pBdr>
    </w:pPr>
  </w:p>
  <w:p>
    <w:pPr>
      <w:spacing w:before="80"/>
      <w:jc w:val="center"/>
    </w:pPr>
    <w:r>
      <w:rPr>
        <w:rFonts w:ascii="Arial" w:cs="Arial" w:eastAsia="Arial" w:hAnsi="Arial"/>
        <w:color w:val="999999"/>
        <w:sz w:val="16"/>
        <w:szCs w:val="16"/>
      </w:rPr>
      <w:t xml:space="preserve">IronCellResearch.com  |  For Research Use Only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pPr>
    <w:r>
      <w:drawing>
        <wp:inline distT="0" distB="0" distL="0" distR="0">
          <wp:extent cx="857250" cy="5715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571500"/>
                  </a:xfrm>
                  <a:prstGeom prst="rect">
                    <a:avLst/>
                  </a:prstGeom>
                </pic:spPr>
              </pic:pic>
            </a:graphicData>
          </a:graphic>
        </wp:inline>
      </w:drawing>
    </w:r>
    <w:r>
      <w:rPr>
        <w:rFonts w:ascii="Arial" w:cs="Arial" w:eastAsia="Arial" w:hAnsi="Arial"/>
        <w:color w:val="999999"/>
        <w:sz w:val="18"/>
        <w:szCs w:val="18"/>
      </w:rPr>
      <w:t xml:space="preserve">    Thymosin Alpha-1 Peptide Brief</w:t>
    </w:r>
  </w:p>
  <w:p>
    <w:pPr>
      <w:pBdr>
        <w:bottom w:val="single" w:color="CC0000" w:sz="4"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CC000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CC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f53fdf121203c8a81534bccd3c88a6a13827eed.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f53fdf121203c8a81534bccd3c88a6a13827e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2026-03-28T14:35:36.833Z</dcterms:created>
  <dcterms:modified xsi:type="dcterms:W3CDTF">2026-03-28T14:35:36.833Z</dcterms:modified>
</cp:coreProperties>
</file>

<file path=docProps/custom.xml><?xml version="1.0" encoding="utf-8"?>
<Properties xmlns="http://schemas.openxmlformats.org/officeDocument/2006/custom-properties" xmlns:vt="http://schemas.openxmlformats.org/officeDocument/2006/docPropsVTypes"/>
</file>