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200"/>
        <w:jc w:val="center"/>
      </w:pPr>
      <w:r>
        <w:drawing>
          <wp:inline distT="0" distB="0" distL="0" distR="0">
            <wp:extent cx="2857500" cy="1905000"/>
            <wp:effectExtent t="0" r="0" b="0" l="0"/>
            <wp:docPr id="1" name="logo" descr="Iron Cell Research Logo" title="Iron Cell Rese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857500" cy="1905000"/>
                    </a:xfrm>
                    <a:prstGeom prst="rect">
                      <a:avLst/>
                    </a:prstGeom>
                  </pic:spPr>
                </pic:pic>
              </a:graphicData>
            </a:graphic>
          </wp:inline>
        </w:drawing>
      </w:r>
    </w:p>
    <w:p>
      <w:pPr>
        <w:spacing w:after="200"/>
        <w:jc w:val="center"/>
      </w:pPr>
      <w:r>
        <w:rPr>
          <w:rFonts w:ascii="Arial" w:cs="Arial" w:eastAsia="Arial" w:hAnsi="Arial"/>
          <w:color w:val="999999"/>
          <w:spacing w:val="200"/>
          <w:sz w:val="22"/>
          <w:szCs w:val="22"/>
        </w:rPr>
        <w:t xml:space="preserve">PEPTIDE RESEARCH BRIEF</w:t>
      </w:r>
    </w:p>
    <w:p>
      <w:pPr>
        <w:spacing w:after="200"/>
        <w:jc w:val="center"/>
      </w:pPr>
      <w:r>
        <w:rPr>
          <w:rFonts w:ascii="Arial" w:cs="Arial" w:eastAsia="Arial" w:hAnsi="Arial"/>
          <w:b/>
          <w:bCs/>
          <w:color w:val="CC0000"/>
          <w:sz w:val="64"/>
          <w:szCs w:val="64"/>
        </w:rPr>
        <w:t xml:space="preserve">GHK-Cu</w:t>
      </w:r>
    </w:p>
    <w:p>
      <w:pPr>
        <w:pBdr>
          <w:bottom w:val="single" w:color="CC0000" w:sz="6" w:space="8"/>
        </w:pBdr>
        <w:spacing w:after="100"/>
        <w:jc w:val="center"/>
      </w:pPr>
      <w:r>
        <w:rPr>
          <w:rFonts w:ascii="Arial" w:cs="Arial" w:eastAsia="Arial" w:hAnsi="Arial"/>
          <w:color w:val="555555"/>
          <w:sz w:val="22"/>
          <w:szCs w:val="22"/>
        </w:rPr>
        <w:t xml:space="preserve">Copper Peptide Complex | Tissue Remodeling &amp; Regeneration</w:t>
      </w:r>
    </w:p>
    <w:p>
      <w:pPr>
        <w:spacing w:before="400"/>
      </w:pPr>
    </w:p>
    <w:p>
      <w:pPr>
        <w:spacing w:after="80"/>
        <w:jc w:val="center"/>
      </w:pPr>
      <w:r>
        <w:rPr>
          <w:rFonts w:ascii="Arial" w:cs="Arial" w:eastAsia="Arial" w:hAnsi="Arial"/>
          <w:color w:val="333333"/>
          <w:sz w:val="24"/>
          <w:szCs w:val="24"/>
        </w:rPr>
        <w:t xml:space="preserve">Description, Benefits, Dosage &amp; Research Overview</w:t>
      </w:r>
    </w:p>
    <w:p>
      <w:pPr>
        <w:spacing w:before="600"/>
      </w:pPr>
    </w:p>
    <w:p>
      <w:pPr>
        <w:spacing w:after="60"/>
        <w:jc w:val="center"/>
      </w:pPr>
      <w:r>
        <w:rPr>
          <w:rFonts w:ascii="Arial" w:cs="Arial" w:eastAsia="Arial" w:hAnsi="Arial"/>
          <w:b/>
          <w:bCs/>
          <w:color w:val="CC0000"/>
          <w:sz w:val="26"/>
          <w:szCs w:val="26"/>
        </w:rPr>
        <w:t xml:space="preserve">Iron Cell Research</w:t>
      </w:r>
    </w:p>
    <w:p>
      <w:pPr>
        <w:spacing w:after="60"/>
        <w:jc w:val="center"/>
      </w:pPr>
      <w:r>
        <w:rPr>
          <w:rFonts w:ascii="Arial" w:cs="Arial" w:eastAsia="Arial" w:hAnsi="Arial"/>
          <w:color w:val="333333"/>
          <w:sz w:val="22"/>
          <w:szCs w:val="22"/>
        </w:rPr>
        <w:t xml:space="preserve">IronCellResearch.com</w:t>
      </w:r>
    </w:p>
    <w:p>
      <w:pPr>
        <w:jc w:val="center"/>
      </w:pPr>
      <w:r>
        <w:rPr>
          <w:rFonts w:ascii="Arial" w:cs="Arial" w:eastAsia="Arial" w:hAnsi="Arial"/>
          <w:i/>
          <w:iCs/>
          <w:color w:val="999999"/>
          <w:sz w:val="20"/>
          <w:szCs w:val="20"/>
        </w:rPr>
        <w:t xml:space="preserve">For Research Use Only</w:t>
      </w:r>
    </w:p>
    <w:p>
      <w:pPr>
        <w:spacing w:before="400"/>
        <w:jc w:val="center"/>
      </w:pPr>
      <w:r>
        <w:drawing>
          <wp:inline distT="0" distB="0" distL="0" distR="0">
            <wp:extent cx="1333500" cy="885825"/>
            <wp:effectExtent t="0" r="0" b="0" l="0"/>
            <wp:docPr id="1" name="logo" descr="Iron Cell Research Logo" title="Iron Cell Rese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333500" cy="885825"/>
                    </a:xfrm>
                    <a:prstGeom prst="rect">
                      <a:avLst/>
                    </a:prstGeom>
                  </pic:spPr>
                </pic:pic>
              </a:graphicData>
            </a:graphic>
          </wp:inline>
        </w:drawing>
      </w:r>
    </w:p>
    <w:p>
      <w:pPr>
        <w:sectPr>
          <w:pgSz w:w="12240" w:h="15840" w:orient="portrait"/>
          <w:pgMar w:top="1440" w:right="1440" w:bottom="1440" w:left="1440" w:header="708" w:footer="708" w:gutter="0"/>
          <w:pgNumType/>
          <w:docGrid w:linePitch="360"/>
        </w:sectPr>
      </w:pPr>
    </w:p>
    <w:p>
      <w:pPr>
        <w:pStyle w:val="Heading1"/>
      </w:pPr>
      <w:r>
        <w:rPr>
          <w:rFonts w:ascii="Arial" w:cs="Arial" w:eastAsia="Arial" w:hAnsi="Arial"/>
          <w:b/>
          <w:bCs/>
          <w:color w:val="CC0000"/>
          <w:sz w:val="36"/>
          <w:szCs w:val="36"/>
        </w:rPr>
        <w:t xml:space="preserve">Compound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CC0000"/>
                <w:sz w:val="22"/>
                <w:szCs w:val="22"/>
              </w:rPr>
              <w:t xml:space="preserve">Compound Name</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2"/>
                <w:szCs w:val="22"/>
              </w:rPr>
              <w:t xml:space="preserve">GHK-Cu (Glycyl-L-Histidyl-L-Lysine Copper)</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CC0000"/>
                <w:sz w:val="22"/>
                <w:szCs w:val="22"/>
              </w:rPr>
              <w:t xml:space="preserve">Classification</w:t>
            </w:r>
          </w:p>
        </w:tc>
        <w:tc>
          <w:tcPr>
            <w:tcW w:type="dxa" w:w="6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000000"/>
                <w:sz w:val="22"/>
                <w:szCs w:val="22"/>
              </w:rPr>
              <w:t xml:space="preserve">Tripeptide-Copper Complex</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CC0000"/>
                <w:sz w:val="22"/>
                <w:szCs w:val="22"/>
              </w:rPr>
              <w:t xml:space="preserve">Molecular Formula</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2"/>
                <w:szCs w:val="22"/>
              </w:rPr>
              <w:t xml:space="preserve">C14H24N6O4Cu</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CC0000"/>
                <w:sz w:val="22"/>
                <w:szCs w:val="22"/>
              </w:rPr>
              <w:t xml:space="preserve">Molecular Weight</w:t>
            </w:r>
          </w:p>
        </w:tc>
        <w:tc>
          <w:tcPr>
            <w:tcW w:type="dxa" w:w="6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000000"/>
                <w:sz w:val="22"/>
                <w:szCs w:val="22"/>
              </w:rPr>
              <w:t xml:space="preserve">403.93 g/mol</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CC0000"/>
                <w:sz w:val="22"/>
                <w:szCs w:val="22"/>
              </w:rPr>
              <w:t xml:space="preserve">CAS Number</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2"/>
                <w:szCs w:val="22"/>
              </w:rPr>
              <w:t xml:space="preserve">49557-75-7</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CC0000"/>
                <w:sz w:val="22"/>
                <w:szCs w:val="22"/>
              </w:rPr>
              <w:t xml:space="preserve">Biological Half-Life</w:t>
            </w:r>
          </w:p>
        </w:tc>
        <w:tc>
          <w:tcPr>
            <w:tcW w:type="dxa" w:w="6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000000"/>
                <w:sz w:val="22"/>
                <w:szCs w:val="22"/>
              </w:rPr>
              <w:t xml:space="preserve">Approximately 30-60 minutes</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CC0000"/>
                <w:sz w:val="22"/>
                <w:szCs w:val="22"/>
              </w:rPr>
              <w:t xml:space="preserve">Purity</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2"/>
                <w:szCs w:val="22"/>
              </w:rPr>
              <w:t xml:space="preserve">Greater than or equal to 99%</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CC0000"/>
                <w:sz w:val="22"/>
                <w:szCs w:val="22"/>
              </w:rPr>
              <w:t xml:space="preserve">Storage</w:t>
            </w:r>
          </w:p>
        </w:tc>
        <w:tc>
          <w:tcPr>
            <w:tcW w:type="dxa" w:w="6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000000"/>
                <w:sz w:val="22"/>
                <w:szCs w:val="22"/>
              </w:rPr>
              <w:t xml:space="preserve">Lyophilized, -20C, protected from light</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CC0000"/>
                <w:sz w:val="22"/>
                <w:szCs w:val="22"/>
              </w:rPr>
              <w:t xml:space="preserve">Research Status</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2"/>
                <w:szCs w:val="22"/>
              </w:rPr>
              <w:t xml:space="preserve">Extensive preclinical research</w:t>
            </w:r>
          </w:p>
        </w:tc>
      </w:tr>
    </w:tbl>
    <w:p>
      <w:pPr>
        <w:pBdr>
          <w:bottom w:val="single" w:color="CC0000" w:sz="4" w:space="1"/>
        </w:pBdr>
        <w:spacing w:before="200" w:after="200"/>
      </w:pPr>
    </w:p>
    <w:p>
      <w:pPr>
        <w:pStyle w:val="Heading1"/>
      </w:pPr>
      <w:r>
        <w:rPr>
          <w:rFonts w:ascii="Arial" w:cs="Arial" w:eastAsia="Arial" w:hAnsi="Arial"/>
          <w:b/>
          <w:bCs/>
          <w:color w:val="CC0000"/>
          <w:sz w:val="36"/>
          <w:szCs w:val="36"/>
        </w:rPr>
        <w:t xml:space="preserve">Description</w:t>
      </w:r>
    </w:p>
    <w:p>
      <w:pPr>
        <w:spacing w:after="160" w:line="300"/>
      </w:pPr>
      <w:r>
        <w:rPr>
          <w:rFonts w:ascii="Arial" w:cs="Arial" w:eastAsia="Arial" w:hAnsi="Arial"/>
          <w:color w:val="000000"/>
          <w:sz w:val="22"/>
          <w:szCs w:val="22"/>
        </w:rPr>
        <w:t xml:space="preserve">GHK-Cu is a naturally occurring tripeptide with a high affinity for copper(II) ions. Found in human plasma, saliva, and urine, it was first identified by Dr. Loren Pickart in 1973. Plasma levels of GHK-Cu decline significantly with age, from approximately 200 ng/mL at age 20 to roughly 80 ng/mL by age 60.</w:t>
      </w:r>
    </w:p>
    <w:p>
      <w:pPr>
        <w:spacing w:after="160" w:line="300"/>
      </w:pPr>
      <w:r>
        <w:rPr>
          <w:rFonts w:ascii="Arial" w:cs="Arial" w:eastAsia="Arial" w:hAnsi="Arial"/>
          <w:color w:val="000000"/>
          <w:sz w:val="22"/>
          <w:szCs w:val="22"/>
        </w:rPr>
        <w:t xml:space="preserve">GHK-Cu activates a broad range of tissue remodeling, anti-inflammatory, antioxidant, and reparative processes. Research has shown that this peptide modulates the expression of over 4,000 human genes, effectively resetting gene expression patterns toward a healthier, more regenerative state.</w:t>
      </w:r>
    </w:p>
    <w:p>
      <w:pPr>
        <w:pBdr>
          <w:bottom w:val="single" w:color="CC0000" w:sz="4" w:space="1"/>
        </w:pBdr>
        <w:spacing w:before="200" w:after="200"/>
      </w:pPr>
    </w:p>
    <w:p>
      <w:pPr>
        <w:pStyle w:val="Heading1"/>
      </w:pPr>
      <w:r>
        <w:rPr>
          <w:rFonts w:ascii="Arial" w:cs="Arial" w:eastAsia="Arial" w:hAnsi="Arial"/>
          <w:b/>
          <w:bCs/>
          <w:color w:val="CC0000"/>
          <w:sz w:val="36"/>
          <w:szCs w:val="36"/>
        </w:rPr>
        <w:t xml:space="preserve">Mechanism of Action</w:t>
      </w:r>
    </w:p>
    <w:p>
      <w:pPr>
        <w:pStyle w:val="Heading2"/>
      </w:pPr>
      <w:r>
        <w:rPr>
          <w:rFonts w:ascii="Arial" w:cs="Arial" w:eastAsia="Arial" w:hAnsi="Arial"/>
          <w:b/>
          <w:bCs/>
          <w:color w:val="CC0000"/>
          <w:sz w:val="28"/>
          <w:szCs w:val="28"/>
        </w:rPr>
        <w:t xml:space="preserve">Tissue Remodeling &amp; ECM Regulation</w:t>
      </w:r>
    </w:p>
    <w:p>
      <w:pPr>
        <w:spacing w:after="160" w:line="300"/>
      </w:pPr>
      <w:r>
        <w:rPr>
          <w:rFonts w:ascii="Arial" w:cs="Arial" w:eastAsia="Arial" w:hAnsi="Arial"/>
          <w:color w:val="000000"/>
          <w:sz w:val="22"/>
          <w:szCs w:val="22"/>
        </w:rPr>
        <w:t xml:space="preserve">GHK-Cu stimulates synthesis of collagen types I and III, as well as elastin. It activates matrix metalloproteinases (MMPs) and their tissue inhibitors (TIMPs) to promote balanced extracellular matrix turnover, and promotes glycosaminoglycan and proteoglycan production for improved tissue structure.</w:t>
      </w:r>
    </w:p>
    <w:p>
      <w:pPr>
        <w:pStyle w:val="Heading2"/>
      </w:pPr>
      <w:r>
        <w:rPr>
          <w:rFonts w:ascii="Arial" w:cs="Arial" w:eastAsia="Arial" w:hAnsi="Arial"/>
          <w:b/>
          <w:bCs/>
          <w:color w:val="CC0000"/>
          <w:sz w:val="28"/>
          <w:szCs w:val="28"/>
        </w:rPr>
        <w:t xml:space="preserve">Anti-Inflammatory Signaling</w:t>
      </w:r>
    </w:p>
    <w:p>
      <w:pPr>
        <w:spacing w:after="160" w:line="300"/>
      </w:pPr>
      <w:r>
        <w:rPr>
          <w:rFonts w:ascii="Arial" w:cs="Arial" w:eastAsia="Arial" w:hAnsi="Arial"/>
          <w:color w:val="000000"/>
          <w:sz w:val="22"/>
          <w:szCs w:val="22"/>
        </w:rPr>
        <w:t xml:space="preserve">GHK-Cu suppresses pro-inflammatory cytokines including TNF-alpha, IL-6, IL-1beta, and TGF-beta. It modulates the NF-kB pathway and reduces oxidative damage through upregulation of superoxide dismutase (SOD) and other antioxidant enzymes.</w:t>
      </w:r>
    </w:p>
    <w:p>
      <w:pPr>
        <w:pStyle w:val="Heading2"/>
      </w:pPr>
      <w:r>
        <w:rPr>
          <w:rFonts w:ascii="Arial" w:cs="Arial" w:eastAsia="Arial" w:hAnsi="Arial"/>
          <w:b/>
          <w:bCs/>
          <w:color w:val="CC0000"/>
          <w:sz w:val="28"/>
          <w:szCs w:val="28"/>
        </w:rPr>
        <w:t xml:space="preserve">Wound Healing &amp; Tissue Repair</w:t>
      </w:r>
    </w:p>
    <w:p>
      <w:pPr>
        <w:spacing w:after="160" w:line="300"/>
      </w:pPr>
      <w:r>
        <w:rPr>
          <w:rFonts w:ascii="Arial" w:cs="Arial" w:eastAsia="Arial" w:hAnsi="Arial"/>
          <w:color w:val="000000"/>
          <w:sz w:val="22"/>
          <w:szCs w:val="22"/>
        </w:rPr>
        <w:t xml:space="preserve">GHK-Cu accelerates wound closure and re-epithelialization. It promotes angiogenesis through upregulation of VEGF and FGF-2, attracts immune cells and fibroblasts to wound sites, and reduces scarring by promoting organized collagen deposition.</w:t>
      </w:r>
    </w:p>
    <w:p>
      <w:pPr>
        <w:pStyle w:val="Heading2"/>
      </w:pPr>
      <w:r>
        <w:rPr>
          <w:rFonts w:ascii="Arial" w:cs="Arial" w:eastAsia="Arial" w:hAnsi="Arial"/>
          <w:b/>
          <w:bCs/>
          <w:color w:val="CC0000"/>
          <w:sz w:val="28"/>
          <w:szCs w:val="28"/>
        </w:rPr>
        <w:t xml:space="preserve">Stem Cell &amp; Gene Expression</w:t>
      </w:r>
    </w:p>
    <w:p>
      <w:pPr>
        <w:spacing w:after="160" w:line="300"/>
      </w:pPr>
      <w:r>
        <w:rPr>
          <w:rFonts w:ascii="Arial" w:cs="Arial" w:eastAsia="Arial" w:hAnsi="Arial"/>
          <w:color w:val="000000"/>
          <w:sz w:val="22"/>
          <w:szCs w:val="22"/>
        </w:rPr>
        <w:t xml:space="preserve">GHK-Cu upregulates genes associated with tissue repair while downregulating inflammatory gene expression. It promotes mesenchymal stem cell differentiation and effectively resets cellular gene expression toward a regenerative profile.</w:t>
      </w:r>
    </w:p>
    <w:p>
      <w:pPr>
        <w:pBdr>
          <w:bottom w:val="single" w:color="CC0000" w:sz="4" w:space="1"/>
        </w:pBdr>
        <w:spacing w:before="200" w:after="200"/>
      </w:pPr>
    </w:p>
    <w:p>
      <w:pPr>
        <w:pStyle w:val="Heading1"/>
      </w:pPr>
      <w:r>
        <w:rPr>
          <w:rFonts w:ascii="Arial" w:cs="Arial" w:eastAsia="Arial" w:hAnsi="Arial"/>
          <w:b/>
          <w:bCs/>
          <w:color w:val="CC0000"/>
          <w:sz w:val="36"/>
          <w:szCs w:val="36"/>
        </w:rPr>
        <w:t xml:space="preserve">Research Benefits</w:t>
      </w:r>
    </w:p>
    <w:p>
      <w:pPr>
        <w:pStyle w:val="Heading2"/>
      </w:pPr>
      <w:r>
        <w:rPr>
          <w:rFonts w:ascii="Arial" w:cs="Arial" w:eastAsia="Arial" w:hAnsi="Arial"/>
          <w:b/>
          <w:bCs/>
          <w:color w:val="CC0000"/>
          <w:sz w:val="28"/>
          <w:szCs w:val="28"/>
        </w:rPr>
        <w:t xml:space="preserve">Skin Rejuvenation</w:t>
      </w:r>
    </w:p>
    <w:p>
      <w:pPr>
        <w:pStyle w:val="ListParagraph"/>
        <w:numPr>
          <w:ilvl w:val="0"/>
          <w:numId w:val="2"/>
        </w:numPr>
        <w:spacing w:after="80" w:line="300"/>
      </w:pPr>
      <w:r>
        <w:rPr>
          <w:rFonts w:ascii="Arial" w:cs="Arial" w:eastAsia="Arial" w:hAnsi="Arial"/>
          <w:b/>
          <w:bCs/>
          <w:color w:val="CC0000"/>
          <w:sz w:val="22"/>
          <w:szCs w:val="22"/>
        </w:rPr>
        <w:t xml:space="preserve">Collagen Stimulation: </w:t>
      </w:r>
      <w:r>
        <w:rPr>
          <w:rFonts w:ascii="Arial" w:cs="Arial" w:eastAsia="Arial" w:hAnsi="Arial"/>
          <w:color w:val="000000"/>
          <w:sz w:val="22"/>
          <w:szCs w:val="22"/>
        </w:rPr>
        <w:t xml:space="preserve">Increases collagen and elastin production, improving skin firmness and elasticity.</w:t>
      </w:r>
    </w:p>
    <w:p>
      <w:pPr>
        <w:pStyle w:val="ListParagraph"/>
        <w:numPr>
          <w:ilvl w:val="0"/>
          <w:numId w:val="2"/>
        </w:numPr>
        <w:spacing w:after="80" w:line="300"/>
      </w:pPr>
      <w:r>
        <w:rPr>
          <w:rFonts w:ascii="Arial" w:cs="Arial" w:eastAsia="Arial" w:hAnsi="Arial"/>
          <w:b/>
          <w:bCs/>
          <w:color w:val="CC0000"/>
          <w:sz w:val="22"/>
          <w:szCs w:val="22"/>
        </w:rPr>
        <w:t xml:space="preserve">Anti-Aging: </w:t>
      </w:r>
      <w:r>
        <w:rPr>
          <w:rFonts w:ascii="Arial" w:cs="Arial" w:eastAsia="Arial" w:hAnsi="Arial"/>
          <w:color w:val="000000"/>
          <w:sz w:val="22"/>
          <w:szCs w:val="22"/>
        </w:rPr>
        <w:t xml:space="preserve">Reduces fine lines and wrinkles, improves skin thickness, and reverses photoaging damage.</w:t>
      </w:r>
    </w:p>
    <w:p>
      <w:pPr>
        <w:pStyle w:val="ListParagraph"/>
        <w:numPr>
          <w:ilvl w:val="0"/>
          <w:numId w:val="2"/>
        </w:numPr>
        <w:spacing w:after="80" w:line="300"/>
      </w:pPr>
      <w:r>
        <w:rPr>
          <w:rFonts w:ascii="Arial" w:cs="Arial" w:eastAsia="Arial" w:hAnsi="Arial"/>
          <w:b/>
          <w:bCs/>
          <w:color w:val="CC0000"/>
          <w:sz w:val="22"/>
          <w:szCs w:val="22"/>
        </w:rPr>
        <w:t xml:space="preserve">Skin Quality: </w:t>
      </w:r>
      <w:r>
        <w:rPr>
          <w:rFonts w:ascii="Arial" w:cs="Arial" w:eastAsia="Arial" w:hAnsi="Arial"/>
          <w:color w:val="000000"/>
          <w:sz w:val="22"/>
          <w:szCs w:val="22"/>
        </w:rPr>
        <w:t xml:space="preserve">Enhances skin clarity, reduces hyperpigmentation, and improves overall skin texture.</w:t>
      </w:r>
    </w:p>
    <w:p>
      <w:pPr>
        <w:pStyle w:val="Heading2"/>
      </w:pPr>
      <w:r>
        <w:rPr>
          <w:rFonts w:ascii="Arial" w:cs="Arial" w:eastAsia="Arial" w:hAnsi="Arial"/>
          <w:b/>
          <w:bCs/>
          <w:color w:val="CC0000"/>
          <w:sz w:val="28"/>
          <w:szCs w:val="28"/>
        </w:rPr>
        <w:t xml:space="preserve">Wound Healing</w:t>
      </w:r>
    </w:p>
    <w:p>
      <w:pPr>
        <w:pStyle w:val="ListParagraph"/>
        <w:numPr>
          <w:ilvl w:val="0"/>
          <w:numId w:val="2"/>
        </w:numPr>
        <w:spacing w:after="80" w:line="300"/>
      </w:pPr>
      <w:r>
        <w:rPr>
          <w:rFonts w:ascii="Arial" w:cs="Arial" w:eastAsia="Arial" w:hAnsi="Arial"/>
          <w:b/>
          <w:bCs/>
          <w:color w:val="CC0000"/>
          <w:sz w:val="22"/>
          <w:szCs w:val="22"/>
        </w:rPr>
        <w:t xml:space="preserve">Accelerated Closure: </w:t>
      </w:r>
      <w:r>
        <w:rPr>
          <w:rFonts w:ascii="Arial" w:cs="Arial" w:eastAsia="Arial" w:hAnsi="Arial"/>
          <w:color w:val="000000"/>
          <w:sz w:val="22"/>
          <w:szCs w:val="22"/>
        </w:rPr>
        <w:t xml:space="preserve">Significantly speeds wound healing in preclinical models.</w:t>
      </w:r>
    </w:p>
    <w:p>
      <w:pPr>
        <w:pStyle w:val="ListParagraph"/>
        <w:numPr>
          <w:ilvl w:val="0"/>
          <w:numId w:val="2"/>
        </w:numPr>
        <w:spacing w:after="80" w:line="300"/>
      </w:pPr>
      <w:r>
        <w:rPr>
          <w:rFonts w:ascii="Arial" w:cs="Arial" w:eastAsia="Arial" w:hAnsi="Arial"/>
          <w:b/>
          <w:bCs/>
          <w:color w:val="CC0000"/>
          <w:sz w:val="22"/>
          <w:szCs w:val="22"/>
        </w:rPr>
        <w:t xml:space="preserve">Reduced Scarring: </w:t>
      </w:r>
      <w:r>
        <w:rPr>
          <w:rFonts w:ascii="Arial" w:cs="Arial" w:eastAsia="Arial" w:hAnsi="Arial"/>
          <w:color w:val="000000"/>
          <w:sz w:val="22"/>
          <w:szCs w:val="22"/>
        </w:rPr>
        <w:t xml:space="preserve">Promotes organized tissue repair, minimizing hypertrophic scarring.</w:t>
      </w:r>
    </w:p>
    <w:p>
      <w:pPr>
        <w:pStyle w:val="ListParagraph"/>
        <w:numPr>
          <w:ilvl w:val="0"/>
          <w:numId w:val="2"/>
        </w:numPr>
        <w:spacing w:after="80" w:line="300"/>
      </w:pPr>
      <w:r>
        <w:rPr>
          <w:rFonts w:ascii="Arial" w:cs="Arial" w:eastAsia="Arial" w:hAnsi="Arial"/>
          <w:b/>
          <w:bCs/>
          <w:color w:val="CC0000"/>
          <w:sz w:val="22"/>
          <w:szCs w:val="22"/>
        </w:rPr>
        <w:t xml:space="preserve">Chronic Wounds: </w:t>
      </w:r>
      <w:r>
        <w:rPr>
          <w:rFonts w:ascii="Arial" w:cs="Arial" w:eastAsia="Arial" w:hAnsi="Arial"/>
          <w:color w:val="000000"/>
          <w:sz w:val="22"/>
          <w:szCs w:val="22"/>
        </w:rPr>
        <w:t xml:space="preserve">Shows benefit in diabetic ulcer and chronic wound models.</w:t>
      </w:r>
    </w:p>
    <w:p>
      <w:pPr>
        <w:pStyle w:val="Heading2"/>
      </w:pPr>
      <w:r>
        <w:rPr>
          <w:rFonts w:ascii="Arial" w:cs="Arial" w:eastAsia="Arial" w:hAnsi="Arial"/>
          <w:b/>
          <w:bCs/>
          <w:color w:val="CC0000"/>
          <w:sz w:val="28"/>
          <w:szCs w:val="28"/>
        </w:rPr>
        <w:t xml:space="preserve">Hair Growth</w:t>
      </w:r>
    </w:p>
    <w:p>
      <w:pPr>
        <w:pStyle w:val="ListParagraph"/>
        <w:numPr>
          <w:ilvl w:val="0"/>
          <w:numId w:val="2"/>
        </w:numPr>
        <w:spacing w:after="80" w:line="300"/>
      </w:pPr>
      <w:r>
        <w:rPr>
          <w:rFonts w:ascii="Arial" w:cs="Arial" w:eastAsia="Arial" w:hAnsi="Arial"/>
          <w:b/>
          <w:bCs/>
          <w:color w:val="CC0000"/>
          <w:sz w:val="22"/>
          <w:szCs w:val="22"/>
        </w:rPr>
        <w:t xml:space="preserve">Follicle Stimulation: </w:t>
      </w:r>
      <w:r>
        <w:rPr>
          <w:rFonts w:ascii="Arial" w:cs="Arial" w:eastAsia="Arial" w:hAnsi="Arial"/>
          <w:color w:val="000000"/>
          <w:sz w:val="22"/>
          <w:szCs w:val="22"/>
        </w:rPr>
        <w:t xml:space="preserve">Promotes hair follicle growth and extends the anagen (growth) phase.</w:t>
      </w:r>
    </w:p>
    <w:p>
      <w:pPr>
        <w:pStyle w:val="ListParagraph"/>
        <w:numPr>
          <w:ilvl w:val="0"/>
          <w:numId w:val="2"/>
        </w:numPr>
        <w:spacing w:after="80" w:line="300"/>
      </w:pPr>
      <w:r>
        <w:rPr>
          <w:rFonts w:ascii="Arial" w:cs="Arial" w:eastAsia="Arial" w:hAnsi="Arial"/>
          <w:b/>
          <w:bCs/>
          <w:color w:val="CC0000"/>
          <w:sz w:val="22"/>
          <w:szCs w:val="22"/>
        </w:rPr>
        <w:t xml:space="preserve">Scalp Health: </w:t>
      </w:r>
      <w:r>
        <w:rPr>
          <w:rFonts w:ascii="Arial" w:cs="Arial" w:eastAsia="Arial" w:hAnsi="Arial"/>
          <w:color w:val="000000"/>
          <w:sz w:val="22"/>
          <w:szCs w:val="22"/>
        </w:rPr>
        <w:t xml:space="preserve">Improves scalp condition and follicle microenvironment.</w:t>
      </w:r>
    </w:p>
    <w:p>
      <w:pPr>
        <w:pStyle w:val="Heading2"/>
      </w:pPr>
      <w:r>
        <w:rPr>
          <w:rFonts w:ascii="Arial" w:cs="Arial" w:eastAsia="Arial" w:hAnsi="Arial"/>
          <w:b/>
          <w:bCs/>
          <w:color w:val="CC0000"/>
          <w:sz w:val="28"/>
          <w:szCs w:val="28"/>
        </w:rPr>
        <w:t xml:space="preserve">Anti-Inflammatory &amp; Antioxidant</w:t>
      </w:r>
    </w:p>
    <w:p>
      <w:pPr>
        <w:pStyle w:val="ListParagraph"/>
        <w:numPr>
          <w:ilvl w:val="0"/>
          <w:numId w:val="2"/>
        </w:numPr>
        <w:spacing w:after="80" w:line="300"/>
      </w:pPr>
      <w:r>
        <w:rPr>
          <w:rFonts w:ascii="Arial" w:cs="Arial" w:eastAsia="Arial" w:hAnsi="Arial"/>
          <w:b/>
          <w:bCs/>
          <w:color w:val="CC0000"/>
          <w:sz w:val="22"/>
          <w:szCs w:val="22"/>
        </w:rPr>
        <w:t xml:space="preserve">Systemic Effects: </w:t>
      </w:r>
      <w:r>
        <w:rPr>
          <w:rFonts w:ascii="Arial" w:cs="Arial" w:eastAsia="Arial" w:hAnsi="Arial"/>
          <w:color w:val="000000"/>
          <w:sz w:val="22"/>
          <w:szCs w:val="22"/>
        </w:rPr>
        <w:t xml:space="preserve">Reduces systemic inflammation markers in preclinical models.</w:t>
      </w:r>
    </w:p>
    <w:p>
      <w:pPr>
        <w:pStyle w:val="ListParagraph"/>
        <w:numPr>
          <w:ilvl w:val="0"/>
          <w:numId w:val="2"/>
        </w:numPr>
        <w:spacing w:after="80" w:line="300"/>
      </w:pPr>
      <w:r>
        <w:rPr>
          <w:rFonts w:ascii="Arial" w:cs="Arial" w:eastAsia="Arial" w:hAnsi="Arial"/>
          <w:b/>
          <w:bCs/>
          <w:color w:val="CC0000"/>
          <w:sz w:val="22"/>
          <w:szCs w:val="22"/>
        </w:rPr>
        <w:t xml:space="preserve">Organ Protection: </w:t>
      </w:r>
      <w:r>
        <w:rPr>
          <w:rFonts w:ascii="Arial" w:cs="Arial" w:eastAsia="Arial" w:hAnsi="Arial"/>
          <w:color w:val="000000"/>
          <w:sz w:val="22"/>
          <w:szCs w:val="22"/>
        </w:rPr>
        <w:t xml:space="preserve">Demonstrates protective effects in gut mucosa and lung tissue models.</w:t>
      </w:r>
    </w:p>
    <w:p>
      <w:pPr>
        <w:pStyle w:val="Heading2"/>
      </w:pPr>
      <w:r>
        <w:rPr>
          <w:rFonts w:ascii="Arial" w:cs="Arial" w:eastAsia="Arial" w:hAnsi="Arial"/>
          <w:b/>
          <w:bCs/>
          <w:color w:val="CC0000"/>
          <w:sz w:val="28"/>
          <w:szCs w:val="28"/>
        </w:rPr>
        <w:t xml:space="preserve">Bone &amp; Joint Health</w:t>
      </w:r>
    </w:p>
    <w:p>
      <w:pPr>
        <w:pStyle w:val="ListParagraph"/>
        <w:numPr>
          <w:ilvl w:val="0"/>
          <w:numId w:val="2"/>
        </w:numPr>
        <w:spacing w:after="80" w:line="300"/>
      </w:pPr>
      <w:r>
        <w:rPr>
          <w:rFonts w:ascii="Arial" w:cs="Arial" w:eastAsia="Arial" w:hAnsi="Arial"/>
          <w:b/>
          <w:bCs/>
          <w:color w:val="CC0000"/>
          <w:sz w:val="22"/>
          <w:szCs w:val="22"/>
        </w:rPr>
        <w:t xml:space="preserve">Osteoblast Stimulation: </w:t>
      </w:r>
      <w:r>
        <w:rPr>
          <w:rFonts w:ascii="Arial" w:cs="Arial" w:eastAsia="Arial" w:hAnsi="Arial"/>
          <w:color w:val="000000"/>
          <w:sz w:val="22"/>
          <w:szCs w:val="22"/>
        </w:rPr>
        <w:t xml:space="preserve">Promotes bone cell differentiation and bone formation.</w:t>
      </w:r>
    </w:p>
    <w:p>
      <w:pPr>
        <w:pStyle w:val="ListParagraph"/>
        <w:numPr>
          <w:ilvl w:val="0"/>
          <w:numId w:val="2"/>
        </w:numPr>
        <w:spacing w:after="80" w:line="300"/>
      </w:pPr>
      <w:r>
        <w:rPr>
          <w:rFonts w:ascii="Arial" w:cs="Arial" w:eastAsia="Arial" w:hAnsi="Arial"/>
          <w:b/>
          <w:bCs/>
          <w:color w:val="CC0000"/>
          <w:sz w:val="22"/>
          <w:szCs w:val="22"/>
        </w:rPr>
        <w:t xml:space="preserve">Cartilage Preservation: </w:t>
      </w:r>
      <w:r>
        <w:rPr>
          <w:rFonts w:ascii="Arial" w:cs="Arial" w:eastAsia="Arial" w:hAnsi="Arial"/>
          <w:color w:val="000000"/>
          <w:sz w:val="22"/>
          <w:szCs w:val="22"/>
        </w:rPr>
        <w:t xml:space="preserve">Supports cartilage integrity and joint health.</w:t>
      </w:r>
    </w:p>
    <w:p>
      <w:pPr>
        <w:pBdr>
          <w:bottom w:val="single" w:color="CC0000" w:sz="4" w:space="1"/>
        </w:pBdr>
        <w:spacing w:before="200" w:after="200"/>
      </w:pPr>
    </w:p>
    <w:p>
      <w:pPr>
        <w:pStyle w:val="Heading1"/>
      </w:pPr>
      <w:r>
        <w:rPr>
          <w:rFonts w:ascii="Arial" w:cs="Arial" w:eastAsia="Arial" w:hAnsi="Arial"/>
          <w:b/>
          <w:bCs/>
          <w:color w:val="CC0000"/>
          <w:sz w:val="36"/>
          <w:szCs w:val="36"/>
        </w:rPr>
        <w:t xml:space="preserve">Dosage &amp; Administration</w:t>
      </w:r>
    </w:p>
    <w:p>
      <w:pPr>
        <w:spacing w:after="160" w:line="300"/>
      </w:pPr>
      <w:r>
        <w:rPr>
          <w:rFonts w:ascii="Arial" w:cs="Arial" w:eastAsia="Arial" w:hAnsi="Arial"/>
          <w:color w:val="000000"/>
          <w:sz w:val="22"/>
          <w:szCs w:val="22"/>
        </w:rPr>
        <w:t xml:space="preserve">The following dosage information is provided for research reference purposes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CC0000"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Protocol</w:t>
            </w:r>
          </w:p>
        </w:tc>
        <w:tc>
          <w:tcPr>
            <w:tcW w:type="dxa" w:w="2340"/>
            <w:tcBorders>
              <w:top w:val="single" w:color="CCCCCC" w:sz="1"/>
              <w:left w:val="single" w:color="CCCCCC" w:sz="1"/>
              <w:bottom w:val="single" w:color="CCCCCC" w:sz="1"/>
              <w:right w:val="single" w:color="CCCCCC" w:sz="1"/>
            </w:tcBorders>
            <w:shd w:fill="CC0000"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Dose Range</w:t>
            </w:r>
          </w:p>
        </w:tc>
        <w:tc>
          <w:tcPr>
            <w:tcW w:type="dxa" w:w="2340"/>
            <w:tcBorders>
              <w:top w:val="single" w:color="CCCCCC" w:sz="1"/>
              <w:left w:val="single" w:color="CCCCCC" w:sz="1"/>
              <w:bottom w:val="single" w:color="CCCCCC" w:sz="1"/>
              <w:right w:val="single" w:color="CCCCCC" w:sz="1"/>
            </w:tcBorders>
            <w:shd w:fill="CC0000"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Route</w:t>
            </w:r>
          </w:p>
        </w:tc>
        <w:tc>
          <w:tcPr>
            <w:tcW w:type="dxa" w:w="2340"/>
            <w:tcBorders>
              <w:top w:val="single" w:color="CCCCCC" w:sz="1"/>
              <w:left w:val="single" w:color="CCCCCC" w:sz="1"/>
              <w:bottom w:val="single" w:color="CCCCCC" w:sz="1"/>
              <w:right w:val="single" w:color="CCCCCC" w:sz="1"/>
            </w:tcBorders>
            <w:shd w:fill="CC0000"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Frequency</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000000"/>
                <w:sz w:val="20"/>
                <w:szCs w:val="20"/>
              </w:rPr>
              <w:t xml:space="preserve">Low / Introductory</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000000"/>
                <w:sz w:val="20"/>
                <w:szCs w:val="20"/>
              </w:rPr>
              <w:t xml:space="preserve">1-2 mg</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000000"/>
                <w:sz w:val="20"/>
                <w:szCs w:val="20"/>
              </w:rPr>
              <w:t xml:space="preserve">SubQ Injection</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000000"/>
                <w:sz w:val="20"/>
                <w:szCs w:val="20"/>
              </w:rPr>
              <w:t xml:space="preserve">Daily</w:t>
            </w:r>
          </w:p>
        </w:tc>
      </w:tr>
      <w:tr>
        <w:tc>
          <w:tcPr>
            <w:tcW w:type="dxa" w:w="23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color w:val="000000"/>
                <w:sz w:val="20"/>
                <w:szCs w:val="20"/>
              </w:rPr>
              <w:t xml:space="preserve">Standard Protocol</w:t>
            </w:r>
          </w:p>
        </w:tc>
        <w:tc>
          <w:tcPr>
            <w:tcW w:type="dxa" w:w="23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color w:val="000000"/>
                <w:sz w:val="20"/>
                <w:szCs w:val="20"/>
              </w:rPr>
              <w:t xml:space="preserve">2-5 mg</w:t>
            </w:r>
          </w:p>
        </w:tc>
        <w:tc>
          <w:tcPr>
            <w:tcW w:type="dxa" w:w="23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color w:val="000000"/>
                <w:sz w:val="20"/>
                <w:szCs w:val="20"/>
              </w:rPr>
              <w:t xml:space="preserve">SubQ Injection</w:t>
            </w:r>
          </w:p>
        </w:tc>
        <w:tc>
          <w:tcPr>
            <w:tcW w:type="dxa" w:w="23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color w:val="000000"/>
                <w:sz w:val="20"/>
                <w:szCs w:val="20"/>
              </w:rPr>
              <w:t xml:space="preserve">Daily</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000000"/>
                <w:sz w:val="20"/>
                <w:szCs w:val="20"/>
              </w:rPr>
              <w:t xml:space="preserve">Topical Application</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000000"/>
                <w:sz w:val="20"/>
                <w:szCs w:val="20"/>
              </w:rPr>
              <w:t xml:space="preserve">1-3% concentration</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000000"/>
                <w:sz w:val="20"/>
                <w:szCs w:val="20"/>
              </w:rPr>
              <w:t xml:space="preserve">Topical</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000000"/>
                <w:sz w:val="20"/>
                <w:szCs w:val="20"/>
              </w:rPr>
              <w:t xml:space="preserve">2x daily</w:t>
            </w:r>
          </w:p>
        </w:tc>
      </w:tr>
      <w:tr>
        <w:tc>
          <w:tcPr>
            <w:tcW w:type="dxa" w:w="23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color w:val="000000"/>
                <w:sz w:val="20"/>
                <w:szCs w:val="20"/>
              </w:rPr>
              <w:t xml:space="preserve">Maintenance</w:t>
            </w:r>
          </w:p>
        </w:tc>
        <w:tc>
          <w:tcPr>
            <w:tcW w:type="dxa" w:w="23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color w:val="000000"/>
                <w:sz w:val="20"/>
                <w:szCs w:val="20"/>
              </w:rPr>
              <w:t xml:space="preserve">1-2 mg</w:t>
            </w:r>
          </w:p>
        </w:tc>
        <w:tc>
          <w:tcPr>
            <w:tcW w:type="dxa" w:w="23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color w:val="000000"/>
                <w:sz w:val="20"/>
                <w:szCs w:val="20"/>
              </w:rPr>
              <w:t xml:space="preserve">SubQ Injection</w:t>
            </w:r>
          </w:p>
        </w:tc>
        <w:tc>
          <w:tcPr>
            <w:tcW w:type="dxa" w:w="23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color w:val="000000"/>
                <w:sz w:val="20"/>
                <w:szCs w:val="20"/>
              </w:rPr>
              <w:t xml:space="preserve">3x per week</w:t>
            </w:r>
          </w:p>
        </w:tc>
      </w:tr>
    </w:tbl>
    <w:p>
      <w:pPr>
        <w:spacing w:before="200"/>
      </w:pPr>
    </w:p>
    <w:p>
      <w:pPr>
        <w:pStyle w:val="Heading2"/>
      </w:pPr>
      <w:r>
        <w:rPr>
          <w:rFonts w:ascii="Arial" w:cs="Arial" w:eastAsia="Arial" w:hAnsi="Arial"/>
          <w:b/>
          <w:bCs/>
          <w:color w:val="CC0000"/>
          <w:sz w:val="28"/>
          <w:szCs w:val="28"/>
        </w:rPr>
        <w:t xml:space="preserve">Reconstitution Guidelines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CC0000"/>
                <w:sz w:val="22"/>
                <w:szCs w:val="22"/>
              </w:rPr>
              <w:t xml:space="preserve">Solvent</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2"/>
                <w:szCs w:val="22"/>
              </w:rPr>
              <w:t xml:space="preserve">Sterile bacteriostatic water</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CC0000"/>
                <w:sz w:val="22"/>
                <w:szCs w:val="22"/>
              </w:rPr>
              <w:t xml:space="preserve">Reconstitution Volume</w:t>
            </w:r>
          </w:p>
        </w:tc>
        <w:tc>
          <w:tcPr>
            <w:tcW w:type="dxa" w:w="6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000000"/>
                <w:sz w:val="22"/>
                <w:szCs w:val="22"/>
              </w:rPr>
              <w:t xml:space="preserve">1 mL per vial</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CC0000"/>
                <w:sz w:val="22"/>
                <w:szCs w:val="22"/>
              </w:rPr>
              <w:t xml:space="preserve">Mixing</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2"/>
                <w:szCs w:val="22"/>
              </w:rPr>
              <w:t xml:space="preserve">Gently swirl until dissolved, do not shake</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CC0000"/>
                <w:sz w:val="22"/>
                <w:szCs w:val="22"/>
              </w:rPr>
              <w:t xml:space="preserve">Storage After Reconstitution</w:t>
            </w:r>
          </w:p>
        </w:tc>
        <w:tc>
          <w:tcPr>
            <w:tcW w:type="dxa" w:w="6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000000"/>
                <w:sz w:val="22"/>
                <w:szCs w:val="22"/>
              </w:rPr>
              <w:t xml:space="preserve">Refrigerate at 2-8C, use within 21 days</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CC0000"/>
                <w:sz w:val="22"/>
                <w:szCs w:val="22"/>
              </w:rPr>
              <w:t xml:space="preserve">Injection Site</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2"/>
                <w:szCs w:val="22"/>
              </w:rPr>
              <w:t xml:space="preserve">Subcutaneous (abdomen, thigh), rotate sites</w:t>
            </w:r>
          </w:p>
        </w:tc>
      </w:tr>
    </w:tbl>
    <w:p>
      <w:pPr>
        <w:pBdr>
          <w:bottom w:val="single" w:color="CC0000" w:sz="4" w:space="1"/>
        </w:pBdr>
        <w:spacing w:before="200" w:after="200"/>
      </w:pPr>
    </w:p>
    <w:p>
      <w:pPr>
        <w:pStyle w:val="Heading1"/>
      </w:pPr>
      <w:r>
        <w:rPr>
          <w:rFonts w:ascii="Arial" w:cs="Arial" w:eastAsia="Arial" w:hAnsi="Arial"/>
          <w:b/>
          <w:bCs/>
          <w:color w:val="CC0000"/>
          <w:sz w:val="36"/>
          <w:szCs w:val="36"/>
        </w:rPr>
        <w:t xml:space="preserve">Safety Profile</w:t>
      </w:r>
    </w:p>
    <w:p>
      <w:pPr>
        <w:spacing w:after="160" w:line="300"/>
      </w:pPr>
      <w:r>
        <w:rPr>
          <w:rFonts w:ascii="Arial" w:cs="Arial" w:eastAsia="Arial" w:hAnsi="Arial"/>
          <w:color w:val="000000"/>
          <w:sz w:val="22"/>
          <w:szCs w:val="22"/>
        </w:rPr>
        <w:t xml:space="preserve">GHK-Cu has an excellent safety profile consistent with its role as an endogenous human peptide:</w:t>
      </w:r>
    </w:p>
    <w:p>
      <w:pPr>
        <w:pStyle w:val="ListParagraph"/>
        <w:numPr>
          <w:ilvl w:val="0"/>
          <w:numId w:val="2"/>
        </w:numPr>
        <w:spacing w:after="80" w:line="300"/>
      </w:pPr>
      <w:r>
        <w:rPr>
          <w:rFonts w:ascii="Arial" w:cs="Arial" w:eastAsia="Arial" w:hAnsi="Arial"/>
          <w:b/>
          <w:bCs/>
          <w:color w:val="CC0000"/>
          <w:sz w:val="22"/>
          <w:szCs w:val="22"/>
        </w:rPr>
        <w:t xml:space="preserve">General Tolerability: </w:t>
      </w:r>
      <w:r>
        <w:rPr>
          <w:rFonts w:ascii="Arial" w:cs="Arial" w:eastAsia="Arial" w:hAnsi="Arial"/>
          <w:color w:val="000000"/>
          <w:sz w:val="22"/>
          <w:szCs w:val="22"/>
        </w:rPr>
        <w:t xml:space="preserve">As a naturally occurring compound, GHK-Cu demonstrates excellent tolerability with minimal adverse effects in preclinical studies.</w:t>
      </w:r>
    </w:p>
    <w:p>
      <w:pPr>
        <w:pStyle w:val="ListParagraph"/>
        <w:numPr>
          <w:ilvl w:val="0"/>
          <w:numId w:val="2"/>
        </w:numPr>
        <w:spacing w:after="80" w:line="300"/>
      </w:pPr>
      <w:r>
        <w:rPr>
          <w:rFonts w:ascii="Arial" w:cs="Arial" w:eastAsia="Arial" w:hAnsi="Arial"/>
          <w:b/>
          <w:bCs/>
          <w:color w:val="CC0000"/>
          <w:sz w:val="22"/>
          <w:szCs w:val="22"/>
        </w:rPr>
        <w:t xml:space="preserve">Injection Site Reactions: </w:t>
      </w:r>
      <w:r>
        <w:rPr>
          <w:rFonts w:ascii="Arial" w:cs="Arial" w:eastAsia="Arial" w:hAnsi="Arial"/>
          <w:color w:val="000000"/>
          <w:sz w:val="22"/>
          <w:szCs w:val="22"/>
        </w:rPr>
        <w:t xml:space="preserve">Mild, transient redness or discomfort may occur at injection sites.</w:t>
      </w:r>
    </w:p>
    <w:p>
      <w:pPr>
        <w:pStyle w:val="ListParagraph"/>
        <w:numPr>
          <w:ilvl w:val="0"/>
          <w:numId w:val="2"/>
        </w:numPr>
        <w:spacing w:after="80" w:line="300"/>
      </w:pPr>
      <w:r>
        <w:rPr>
          <w:rFonts w:ascii="Arial" w:cs="Arial" w:eastAsia="Arial" w:hAnsi="Arial"/>
          <w:b/>
          <w:bCs/>
          <w:color w:val="CC0000"/>
          <w:sz w:val="22"/>
          <w:szCs w:val="22"/>
        </w:rPr>
        <w:t xml:space="preserve">Drug Interactions: </w:t>
      </w:r>
      <w:r>
        <w:rPr>
          <w:rFonts w:ascii="Arial" w:cs="Arial" w:eastAsia="Arial" w:hAnsi="Arial"/>
          <w:color w:val="000000"/>
          <w:sz w:val="22"/>
          <w:szCs w:val="22"/>
        </w:rPr>
        <w:t xml:space="preserve">No significant drug interactions have been identified in research to date.</w:t>
      </w:r>
    </w:p>
    <w:p>
      <w:pPr>
        <w:pStyle w:val="ListParagraph"/>
        <w:numPr>
          <w:ilvl w:val="0"/>
          <w:numId w:val="2"/>
        </w:numPr>
        <w:spacing w:after="80" w:line="300"/>
      </w:pPr>
      <w:r>
        <w:rPr>
          <w:rFonts w:ascii="Arial" w:cs="Arial" w:eastAsia="Arial" w:hAnsi="Arial"/>
          <w:b/>
          <w:bCs/>
          <w:color w:val="CC0000"/>
          <w:sz w:val="22"/>
          <w:szCs w:val="22"/>
        </w:rPr>
        <w:t xml:space="preserve">Pregnancy &amp; Nursing: </w:t>
      </w:r>
      <w:r>
        <w:rPr>
          <w:rFonts w:ascii="Arial" w:cs="Arial" w:eastAsia="Arial" w:hAnsi="Arial"/>
          <w:color w:val="000000"/>
          <w:sz w:val="22"/>
          <w:szCs w:val="22"/>
        </w:rPr>
        <w:t xml:space="preserve">Insufficient safety data for use during pregnancy or lactation.</w:t>
      </w:r>
    </w:p>
    <w:p>
      <w:pPr>
        <w:pBdr>
          <w:bottom w:val="single" w:color="CC0000" w:sz="4" w:space="1"/>
        </w:pBdr>
        <w:spacing w:before="200" w:after="200"/>
      </w:pPr>
    </w:p>
    <w:p>
      <w:pPr>
        <w:pStyle w:val="Heading1"/>
      </w:pPr>
      <w:r>
        <w:rPr>
          <w:rFonts w:ascii="Arial" w:cs="Arial" w:eastAsia="Arial" w:hAnsi="Arial"/>
          <w:b/>
          <w:bCs/>
          <w:color w:val="CC0000"/>
          <w:sz w:val="36"/>
          <w:szCs w:val="36"/>
        </w:rPr>
        <w:t xml:space="preserve">Key References</w:t>
      </w:r>
    </w:p>
    <w:p>
      <w:pPr>
        <w:pStyle w:val="ListParagraph"/>
        <w:numPr>
          <w:ilvl w:val="0"/>
          <w:numId w:val="3"/>
        </w:numPr>
        <w:spacing w:after="80" w:line="300"/>
      </w:pPr>
      <w:r>
        <w:rPr>
          <w:rFonts w:ascii="Arial" w:cs="Arial" w:eastAsia="Arial" w:hAnsi="Arial"/>
          <w:color w:val="000000"/>
          <w:sz w:val="20"/>
          <w:szCs w:val="20"/>
        </w:rPr>
        <w:t xml:space="preserve">Pickart L, Vasquez-Soltero JM, Margolina A. GHK Peptide as a Natural Modulator of Multiple Cellular Pathways in Skin Regeneration. BioMed Research International. 2015.</w:t>
      </w:r>
    </w:p>
    <w:p>
      <w:pPr>
        <w:pStyle w:val="ListParagraph"/>
        <w:numPr>
          <w:ilvl w:val="0"/>
          <w:numId w:val="3"/>
        </w:numPr>
        <w:spacing w:after="80" w:line="300"/>
      </w:pPr>
      <w:r>
        <w:rPr>
          <w:rFonts w:ascii="Arial" w:cs="Arial" w:eastAsia="Arial" w:hAnsi="Arial"/>
          <w:color w:val="000000"/>
          <w:sz w:val="20"/>
          <w:szCs w:val="20"/>
        </w:rPr>
        <w:t xml:space="preserve">Pickart L, Margolina A. Regenerative and Protective Actions of the GHK-Cu Peptide in the Light of the New Gene Data. International Journal of Molecular Sciences. 2018.</w:t>
      </w:r>
    </w:p>
    <w:p>
      <w:pPr>
        <w:pStyle w:val="ListParagraph"/>
        <w:numPr>
          <w:ilvl w:val="0"/>
          <w:numId w:val="3"/>
        </w:numPr>
        <w:spacing w:after="80" w:line="300"/>
      </w:pPr>
      <w:r>
        <w:rPr>
          <w:rFonts w:ascii="Arial" w:cs="Arial" w:eastAsia="Arial" w:hAnsi="Arial"/>
          <w:color w:val="000000"/>
          <w:sz w:val="20"/>
          <w:szCs w:val="20"/>
        </w:rPr>
        <w:t xml:space="preserve">Pickart L. The Human Tripeptide GHK-Cu in Prevention of Oxidative Stress and Degenerative Conditions of Aging. Oxidative Medicine and Cellular Longevity. 2012.</w:t>
      </w:r>
    </w:p>
    <w:p>
      <w:pPr>
        <w:pStyle w:val="ListParagraph"/>
        <w:numPr>
          <w:ilvl w:val="0"/>
          <w:numId w:val="3"/>
        </w:numPr>
        <w:spacing w:after="80" w:line="300"/>
      </w:pPr>
      <w:r>
        <w:rPr>
          <w:rFonts w:ascii="Arial" w:cs="Arial" w:eastAsia="Arial" w:hAnsi="Arial"/>
          <w:color w:val="000000"/>
          <w:sz w:val="20"/>
          <w:szCs w:val="20"/>
        </w:rPr>
        <w:t xml:space="preserve">Maquart FX, et al. In Vivo Stimulation of Connective Tissue Accumulation by the Tripeptide-Copper Complex GHK-Cu. FEBS Letters. 1999.</w:t>
      </w:r>
    </w:p>
    <w:p>
      <w:pPr>
        <w:pStyle w:val="ListParagraph"/>
        <w:numPr>
          <w:ilvl w:val="0"/>
          <w:numId w:val="3"/>
        </w:numPr>
        <w:spacing w:after="80" w:line="300"/>
      </w:pPr>
      <w:r>
        <w:rPr>
          <w:rFonts w:ascii="Arial" w:cs="Arial" w:eastAsia="Arial" w:hAnsi="Arial"/>
          <w:color w:val="000000"/>
          <w:sz w:val="20"/>
          <w:szCs w:val="20"/>
        </w:rPr>
        <w:t xml:space="preserve">Canapp SO, et al. The Effect of Topical Tripeptide-Copper Complex on Healing of Ischemic Open Wounds. Veterinary Surgery. 2003.</w:t>
      </w:r>
    </w:p>
    <w:p>
      <w:pPr>
        <w:pStyle w:val="ListParagraph"/>
        <w:numPr>
          <w:ilvl w:val="0"/>
          <w:numId w:val="3"/>
        </w:numPr>
        <w:spacing w:after="80" w:line="300"/>
      </w:pPr>
      <w:r>
        <w:rPr>
          <w:rFonts w:ascii="Arial" w:cs="Arial" w:eastAsia="Arial" w:hAnsi="Arial"/>
          <w:color w:val="000000"/>
          <w:sz w:val="20"/>
          <w:szCs w:val="20"/>
        </w:rPr>
        <w:t xml:space="preserve">Arul V, et al. Biotinylated GHK Peptide Promotes Wound Healing in Streptozotocin-Induced Diabetic Rats. Journal of Surgical Research. 2005.</w:t>
      </w:r>
    </w:p>
    <w:p>
      <w:pPr>
        <w:pStyle w:val="ListParagraph"/>
        <w:numPr>
          <w:ilvl w:val="0"/>
          <w:numId w:val="3"/>
        </w:numPr>
        <w:spacing w:after="80" w:line="300"/>
      </w:pPr>
      <w:r>
        <w:rPr>
          <w:rFonts w:ascii="Arial" w:cs="Arial" w:eastAsia="Arial" w:hAnsi="Arial"/>
          <w:color w:val="000000"/>
          <w:sz w:val="20"/>
          <w:szCs w:val="20"/>
        </w:rPr>
        <w:t xml:space="preserve">Kang YA, et al. Copper-GHK Increases Expression of Integrin in Human Dermal Fibroblasts. Journal of Investigative Dermatology. 2009.</w:t>
      </w:r>
    </w:p>
    <w:p>
      <w:pPr>
        <w:pBdr>
          <w:bottom w:val="single" w:color="CC0000" w:sz="4" w:space="1"/>
        </w:pBdr>
        <w:spacing w:before="200" w:after="200"/>
      </w:pPr>
    </w:p>
    <w:p>
      <w:pPr>
        <w:pStyle w:val="Heading1"/>
      </w:pPr>
      <w:r>
        <w:rPr>
          <w:rFonts w:ascii="Arial" w:cs="Arial" w:eastAsia="Arial" w:hAnsi="Arial"/>
          <w:b/>
          <w:bCs/>
          <w:color w:val="CC0000"/>
          <w:sz w:val="36"/>
          <w:szCs w:val="36"/>
        </w:rPr>
        <w:t xml:space="preserve">Contact &amp;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CC0000"/>
                <w:sz w:val="22"/>
                <w:szCs w:val="22"/>
              </w:rPr>
              <w:t xml:space="preserve">Company</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2"/>
                <w:szCs w:val="22"/>
              </w:rPr>
              <w:t xml:space="preserve">Iron Cell Research</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CC0000"/>
                <w:sz w:val="22"/>
                <w:szCs w:val="22"/>
              </w:rPr>
              <w:t xml:space="preserve">Website</w:t>
            </w:r>
          </w:p>
        </w:tc>
        <w:tc>
          <w:tcPr>
            <w:tcW w:type="dxa" w:w="6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000000"/>
                <w:sz w:val="22"/>
                <w:szCs w:val="22"/>
              </w:rPr>
              <w:t xml:space="preserve">IronCellResearch.com</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CC0000"/>
                <w:sz w:val="22"/>
                <w:szCs w:val="22"/>
              </w:rPr>
              <w:t xml:space="preserve">Email</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2"/>
                <w:szCs w:val="22"/>
              </w:rPr>
              <w:t xml:space="preserve">orders@ironcellresearch.com</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CC0000"/>
                <w:sz w:val="22"/>
                <w:szCs w:val="22"/>
              </w:rPr>
              <w:t xml:space="preserve">Product Support</w:t>
            </w:r>
          </w:p>
        </w:tc>
        <w:tc>
          <w:tcPr>
            <w:tcW w:type="dxa" w:w="6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000000"/>
                <w:sz w:val="22"/>
                <w:szCs w:val="22"/>
              </w:rPr>
              <w:t xml:space="preserve">Available via website contact form</w:t>
            </w:r>
          </w:p>
        </w:tc>
      </w:tr>
    </w:tbl>
    <w:p>
      <w:pPr>
        <w:pBdr>
          <w:bottom w:val="single" w:color="CC0000" w:sz="4" w:space="1"/>
        </w:pBdr>
        <w:spacing w:before="200" w:after="200"/>
      </w:pPr>
    </w:p>
    <w:p>
      <w:pPr>
        <w:pStyle w:val="Heading1"/>
      </w:pPr>
      <w:r>
        <w:rPr>
          <w:rFonts w:ascii="Arial" w:cs="Arial" w:eastAsia="Arial" w:hAnsi="Arial"/>
          <w:b/>
          <w:bCs/>
          <w:color w:val="CC0000"/>
          <w:sz w:val="36"/>
          <w:szCs w:val="36"/>
        </w:rPr>
        <w:t xml:space="preserve">Disclaimer</w:t>
      </w:r>
    </w:p>
    <w:p>
      <w:pPr>
        <w:spacing w:after="160" w:line="300"/>
      </w:pPr>
      <w:r>
        <w:rPr>
          <w:rFonts w:ascii="Arial" w:cs="Arial" w:eastAsia="Arial" w:hAnsi="Arial"/>
          <w:color w:val="000000"/>
          <w:sz w:val="22"/>
          <w:szCs w:val="22"/>
        </w:rPr>
        <w:t xml:space="preserve">This document is intended for informational and research purposes only. GHK-Cu is sold as a research compound and is not intended for human consumption. The information provided herein does not constitute medical advice, diagnosis, or treatment recommendations. All research applications should comply with applicable institutional, local, and federal regulations. Iron Cell Research makes no claims regarding the therapeutic efficacy of GHK-Cu for any medical condition. Researchers should consult with qualified healthcare professionals and institutional review boards before initiating any research protocols involving human subjects.</w:t>
      </w:r>
    </w:p>
    <w:p>
      <w:pPr>
        <w:spacing w:before="300"/>
        <w:jc w:val="center"/>
      </w:pPr>
      <w:r>
        <w:rPr>
          <w:rFonts w:ascii="Arial" w:cs="Arial" w:eastAsia="Arial" w:hAnsi="Arial"/>
          <w:i/>
          <w:iCs/>
          <w:color w:val="999999"/>
          <w:sz w:val="20"/>
          <w:szCs w:val="20"/>
        </w:rPr>
        <w:t xml:space="preserve">Iron Cell Research - For Research Use Only</w:t>
      </w:r>
    </w:p>
    <w:p>
      <w:pPr>
        <w:spacing w:before="100"/>
        <w:jc w:val="center"/>
      </w:pPr>
      <w:r>
        <w:drawing>
          <wp:inline distT="0" distB="0" distL="0" distR="0">
            <wp:extent cx="857250" cy="571500"/>
            <wp:effectExtent t="0" r="0" b="0" l="0"/>
            <wp:docPr id="1" name="logo" descr="Iron Cell Research Logo" title="Iron Cell Rese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857250" cy="571500"/>
                    </a:xfrm>
                    <a:prstGeom prst="rect">
                      <a:avLst/>
                    </a:prstGeom>
                  </pic:spPr>
                </pic:pic>
              </a:graphicData>
            </a:graphic>
          </wp:inline>
        </w:drawing>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bottom w:val="single" w:color="CC0000" w:sz="4" w:space="1"/>
      </w:pBdr>
    </w:pPr>
  </w:p>
  <w:p>
    <w:pPr>
      <w:spacing w:before="80"/>
      <w:jc w:val="center"/>
    </w:pPr>
    <w:r>
      <w:rPr>
        <w:rFonts w:ascii="Arial" w:cs="Arial" w:eastAsia="Arial" w:hAnsi="Arial"/>
        <w:color w:val="999999"/>
        <w:sz w:val="16"/>
        <w:szCs w:val="16"/>
      </w:rPr>
      <w:t xml:space="preserve">IronCellResearch.com  |  For Research Use Only  |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80"/>
    </w:pPr>
    <w:r>
      <w:drawing>
        <wp:inline distT="0" distB="0" distL="0" distR="0">
          <wp:extent cx="857250" cy="571500"/>
          <wp:effectExtent t="0" r="0" b="0" l="0"/>
          <wp:docPr id="1" name="logo" descr="Iron Cell Research Logo" title="Iron Cell Rese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857250" cy="571500"/>
                  </a:xfrm>
                  <a:prstGeom prst="rect">
                    <a:avLst/>
                  </a:prstGeom>
                </pic:spPr>
              </pic:pic>
            </a:graphicData>
          </a:graphic>
        </wp:inline>
      </w:drawing>
    </w:r>
    <w:r>
      <w:rPr>
        <w:rFonts w:ascii="Arial" w:cs="Arial" w:eastAsia="Arial" w:hAnsi="Arial"/>
        <w:color w:val="999999"/>
        <w:sz w:val="18"/>
        <w:szCs w:val="18"/>
      </w:rPr>
      <w:t xml:space="preserve">    GHK-Cu Peptide Brief</w:t>
    </w:r>
  </w:p>
  <w:p>
    <w:pPr>
      <w:pBdr>
        <w:bottom w:val="single" w:color="CC0000" w:sz="4" w:space="1"/>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CC0000"/>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CC000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ef53fdf121203c8a81534bccd3c88a6a13827eed.png"/><Relationship Id="rId9"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ef53fdf121203c8a81534bccd3c88a6a13827eed.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2026-03-28T14:18:08.368Z</dcterms:created>
  <dcterms:modified xsi:type="dcterms:W3CDTF">2026-03-28T14:18:08.368Z</dcterms:modified>
</cp:coreProperties>
</file>

<file path=docProps/custom.xml><?xml version="1.0" encoding="utf-8"?>
<Properties xmlns="http://schemas.openxmlformats.org/officeDocument/2006/custom-properties" xmlns:vt="http://schemas.openxmlformats.org/officeDocument/2006/docPropsVTypes"/>
</file>