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5526" w14:textId="04B36025" w:rsidR="006D6416" w:rsidRPr="001E0597" w:rsidRDefault="006D6416" w:rsidP="001E0597">
      <w:pPr>
        <w:rPr>
          <w:rStyle w:val="BookTitle"/>
          <w:i w:val="0"/>
          <w:sz w:val="36"/>
          <w:szCs w:val="36"/>
        </w:rPr>
      </w:pPr>
      <w:r w:rsidRPr="001E0597">
        <w:rPr>
          <w:rStyle w:val="BookTitle"/>
          <w:i w:val="0"/>
          <w:sz w:val="36"/>
          <w:szCs w:val="36"/>
        </w:rPr>
        <w:t>Do Freestanding Emergency Departments in Texas Alleviate Congestion in Hospital-based Emergency Departments?</w:t>
      </w:r>
    </w:p>
    <w:p w14:paraId="57C96B69" w14:textId="6B26695E" w:rsidR="000D57CB" w:rsidRDefault="000D57CB" w:rsidP="001D2B52">
      <w:pPr>
        <w:rPr>
          <w:b/>
        </w:rPr>
      </w:pPr>
      <w:r>
        <w:rPr>
          <w:b/>
        </w:rPr>
        <w:t xml:space="preserve">Journal: </w:t>
      </w:r>
      <w:r>
        <w:t>Academic Emergency Medicine</w:t>
      </w:r>
    </w:p>
    <w:p w14:paraId="7A0BBB8B" w14:textId="59F2EF0B" w:rsidR="001D2B52" w:rsidRDefault="001D2B52" w:rsidP="001D2B52">
      <w:r w:rsidRPr="001D2B52">
        <w:rPr>
          <w:b/>
        </w:rPr>
        <w:t>Author</w:t>
      </w:r>
      <w:r w:rsidRPr="001D2B52">
        <w:t>:</w:t>
      </w:r>
      <w:r>
        <w:t xml:space="preserve"> Yingying Xu (initial: YX)</w:t>
      </w:r>
    </w:p>
    <w:p w14:paraId="6E772670" w14:textId="3673EA9A" w:rsidR="001D2B52" w:rsidRPr="001D2B52" w:rsidRDefault="001D2B52" w:rsidP="001D2B52">
      <w:r w:rsidRPr="001D2B52">
        <w:rPr>
          <w:b/>
        </w:rPr>
        <w:t>Author Affiliations</w:t>
      </w:r>
      <w:r w:rsidRPr="001D2B52">
        <w:t xml:space="preserve">: </w:t>
      </w:r>
      <w:r>
        <w:t>Department of Economics, Baker Institute for Public Policy, Rice University</w:t>
      </w:r>
    </w:p>
    <w:p w14:paraId="698FA632" w14:textId="78DEAAB7" w:rsidR="001D2B52" w:rsidRDefault="001D2B52" w:rsidP="00334F9C">
      <w:pPr>
        <w:jc w:val="both"/>
        <w:rPr>
          <w:rFonts w:cstheme="minorHAnsi"/>
        </w:rPr>
      </w:pPr>
      <w:r w:rsidRPr="00207739">
        <w:rPr>
          <w:rFonts w:cstheme="minorHAnsi"/>
          <w:b/>
        </w:rPr>
        <w:t>Keywords</w:t>
      </w:r>
      <w:r w:rsidRPr="00207739">
        <w:rPr>
          <w:rFonts w:cstheme="minorHAnsi"/>
        </w:rPr>
        <w:t xml:space="preserve">: Freestanding Emergency Departments, Hospital Congestion, </w:t>
      </w:r>
      <w:r w:rsidR="00F01129" w:rsidRPr="00207739">
        <w:rPr>
          <w:rFonts w:cstheme="minorHAnsi"/>
        </w:rPr>
        <w:t>Visit Volume, Effective Emergency Care</w:t>
      </w:r>
    </w:p>
    <w:p w14:paraId="7A27A667" w14:textId="5C68ECF9" w:rsidR="001D2B52" w:rsidRDefault="001D2B52" w:rsidP="00334F9C">
      <w:pPr>
        <w:jc w:val="both"/>
        <w:rPr>
          <w:rFonts w:cstheme="minorHAnsi"/>
        </w:rPr>
      </w:pPr>
      <w:r w:rsidRPr="001D2B52">
        <w:rPr>
          <w:rFonts w:cstheme="minorHAnsi"/>
          <w:b/>
        </w:rPr>
        <w:t>Word Count</w:t>
      </w:r>
      <w:r>
        <w:rPr>
          <w:rFonts w:cstheme="minorHAnsi"/>
        </w:rPr>
        <w:t xml:space="preserve">: </w:t>
      </w:r>
    </w:p>
    <w:p w14:paraId="2A7EBF3B" w14:textId="325BA199" w:rsidR="001D2B52" w:rsidRPr="00954C1A" w:rsidRDefault="001D2B52" w:rsidP="001D2B52">
      <w:pPr>
        <w:ind w:leftChars="-1" w:hanging="2"/>
      </w:pPr>
      <w:r w:rsidRPr="00954C1A">
        <w:rPr>
          <w:rFonts w:eastAsia="MS PGothic"/>
          <w:b/>
          <w:iCs/>
        </w:rPr>
        <w:t>Prior Presentations:</w:t>
      </w:r>
      <w:r w:rsidR="00C843E8">
        <w:rPr>
          <w:rFonts w:eastAsia="MS PGothic"/>
          <w:b/>
          <w:iCs/>
        </w:rPr>
        <w:t xml:space="preserve"> </w:t>
      </w:r>
      <w:proofErr w:type="spellStart"/>
      <w:r w:rsidR="00C843E8">
        <w:rPr>
          <w:rFonts w:eastAsia="MS PGothic"/>
          <w:b/>
          <w:iCs/>
        </w:rPr>
        <w:t>ASHEcon</w:t>
      </w:r>
      <w:proofErr w:type="spellEnd"/>
      <w:r w:rsidR="00C843E8">
        <w:rPr>
          <w:rFonts w:eastAsia="MS PGothic"/>
          <w:b/>
          <w:iCs/>
        </w:rPr>
        <w:t xml:space="preserve"> Poster</w:t>
      </w:r>
      <w:r w:rsidRPr="00954C1A">
        <w:rPr>
          <w:rFonts w:eastAsia="MS PGothic"/>
          <w:b/>
          <w:iCs/>
        </w:rPr>
        <w:t xml:space="preserve"> </w:t>
      </w:r>
    </w:p>
    <w:p w14:paraId="5B7AF720" w14:textId="7F20AF3D" w:rsidR="001D2B52" w:rsidRPr="00954C1A" w:rsidRDefault="001D2B52" w:rsidP="001D2B52">
      <w:pPr>
        <w:ind w:leftChars="-1" w:hanging="2"/>
        <w:rPr>
          <w:rFonts w:eastAsia="MS PGothic"/>
          <w:color w:val="000000"/>
        </w:rPr>
      </w:pPr>
      <w:r w:rsidRPr="00954C1A">
        <w:rPr>
          <w:b/>
        </w:rPr>
        <w:t>Funding Sources</w:t>
      </w:r>
      <w:r>
        <w:rPr>
          <w:b/>
        </w:rPr>
        <w:t>/Disclosures</w:t>
      </w:r>
      <w:r w:rsidRPr="00954C1A">
        <w:rPr>
          <w:b/>
        </w:rPr>
        <w:t>:</w:t>
      </w:r>
      <w:r w:rsidRPr="00954C1A">
        <w:t xml:space="preserve"> </w:t>
      </w:r>
      <w:r w:rsidR="00C843E8">
        <w:t>Rice University</w:t>
      </w:r>
    </w:p>
    <w:p w14:paraId="17676569" w14:textId="77777777" w:rsidR="001D2B52" w:rsidRDefault="001D2B52" w:rsidP="001D2B52">
      <w:pPr>
        <w:ind w:leftChars="-1" w:hanging="2"/>
        <w:rPr>
          <w:rFonts w:eastAsia="MS PGothic"/>
          <w:b/>
        </w:rPr>
      </w:pPr>
      <w:r w:rsidRPr="00954C1A">
        <w:rPr>
          <w:rFonts w:eastAsia="MS PGothic"/>
          <w:b/>
        </w:rPr>
        <w:t>Acknowledgments</w:t>
      </w:r>
      <w:r>
        <w:rPr>
          <w:rFonts w:eastAsia="MS PGothic"/>
          <w:b/>
        </w:rPr>
        <w:t>:</w:t>
      </w:r>
    </w:p>
    <w:p w14:paraId="467972E1" w14:textId="6A6E6B06" w:rsidR="001D2B52" w:rsidRPr="00954C1A" w:rsidRDefault="001D2B52" w:rsidP="001D2B52">
      <w:pPr>
        <w:spacing w:line="240" w:lineRule="auto"/>
        <w:ind w:leftChars="-1" w:left="-2"/>
        <w:rPr>
          <w:rFonts w:eastAsia="MS PGothic"/>
          <w:b/>
          <w:bCs/>
        </w:rPr>
      </w:pPr>
      <w:r w:rsidRPr="00185D37">
        <w:rPr>
          <w:rFonts w:eastAsia="MS PGothic"/>
          <w:b/>
          <w:bCs/>
        </w:rPr>
        <w:t>Abstract</w:t>
      </w:r>
      <w:r w:rsidR="00A16102">
        <w:rPr>
          <w:rFonts w:eastAsia="MS PGothic"/>
          <w:b/>
          <w:bCs/>
        </w:rPr>
        <w:t>:</w:t>
      </w:r>
    </w:p>
    <w:p w14:paraId="1ABCB4C7" w14:textId="57ED6889" w:rsidR="00A16102" w:rsidRDefault="00A16102" w:rsidP="00A16102">
      <w:pPr>
        <w:jc w:val="both"/>
      </w:pPr>
      <w:r>
        <w:rPr>
          <w:b/>
        </w:rPr>
        <w:t>Objectives</w:t>
      </w:r>
      <w:r>
        <w:t xml:space="preserve">: Ever since the passage of the Texas Freestanding Emergency Medical Care Facility Licensing Act in </w:t>
      </w:r>
      <w:r w:rsidR="00E257C1">
        <w:t>2009</w:t>
      </w:r>
      <w:r>
        <w:t xml:space="preserve">, freestanding </w:t>
      </w:r>
      <w:r w:rsidR="00675E22">
        <w:t>E</w:t>
      </w:r>
      <w:r>
        <w:t xml:space="preserve">mergency </w:t>
      </w:r>
      <w:r w:rsidR="00675E22">
        <w:t>D</w:t>
      </w:r>
      <w:r>
        <w:t>epartments (EDs) ha</w:t>
      </w:r>
      <w:r w:rsidR="004D36BF">
        <w:t>ve</w:t>
      </w:r>
      <w:r>
        <w:t xml:space="preserve"> flourished in Texas. </w:t>
      </w:r>
      <w:r w:rsidR="0077455B">
        <w:t>T</w:t>
      </w:r>
      <w:r w:rsidRPr="004F321A">
        <w:t>his study</w:t>
      </w:r>
      <w:r w:rsidRPr="00D929E1">
        <w:t xml:space="preserve"> aims to </w:t>
      </w:r>
      <w:r w:rsidR="004F321A">
        <w:rPr>
          <w:rFonts w:hint="eastAsia"/>
        </w:rPr>
        <w:t>ans</w:t>
      </w:r>
      <w:r w:rsidR="004F321A">
        <w:t>wer the question whether the entry of freestanding EDs alleviate</w:t>
      </w:r>
      <w:r w:rsidR="004D36BF">
        <w:t>d</w:t>
      </w:r>
      <w:r w:rsidR="004F321A">
        <w:t xml:space="preserve"> congestion in </w:t>
      </w:r>
      <w:r w:rsidR="004A40E0">
        <w:t xml:space="preserve">nearby </w:t>
      </w:r>
      <w:r w:rsidR="004F321A">
        <w:t xml:space="preserve">hospital-based EDs. </w:t>
      </w:r>
    </w:p>
    <w:p w14:paraId="547006EA" w14:textId="49D03453" w:rsidR="00A16102" w:rsidRDefault="00A16102" w:rsidP="00A16102">
      <w:pPr>
        <w:jc w:val="both"/>
      </w:pPr>
      <w:r w:rsidRPr="00330EB3">
        <w:rPr>
          <w:b/>
        </w:rPr>
        <w:t>Method</w:t>
      </w:r>
      <w:r>
        <w:rPr>
          <w:b/>
        </w:rPr>
        <w:t>s</w:t>
      </w:r>
      <w:r>
        <w:t xml:space="preserve">: </w:t>
      </w:r>
      <w:r w:rsidR="0077455B">
        <w:t>I</w:t>
      </w:r>
      <w:r>
        <w:t xml:space="preserve"> use</w:t>
      </w:r>
      <w:r w:rsidR="0077455B">
        <w:t>d</w:t>
      </w:r>
      <w:r>
        <w:t xml:space="preserve"> hospital-based ED</w:t>
      </w:r>
      <w:r w:rsidR="00837FE5">
        <w:t xml:space="preserve"> annual</w:t>
      </w:r>
      <w:r>
        <w:t xml:space="preserve"> visit</w:t>
      </w:r>
      <w:r w:rsidR="00837FE5">
        <w:t xml:space="preserve"> volume</w:t>
      </w:r>
      <w:r>
        <w:t xml:space="preserve">, </w:t>
      </w:r>
      <w:r w:rsidR="00837FE5">
        <w:t>median</w:t>
      </w:r>
      <w:r>
        <w:t xml:space="preserve"> wait time</w:t>
      </w:r>
      <w:r w:rsidR="00C344F9">
        <w:t xml:space="preserve">, </w:t>
      </w:r>
      <w:r w:rsidR="00837FE5">
        <w:t xml:space="preserve">length of visit for </w:t>
      </w:r>
      <w:r w:rsidR="00C344F9">
        <w:t>discharge</w:t>
      </w:r>
      <w:r w:rsidR="00837FE5">
        <w:t>d</w:t>
      </w:r>
      <w:r w:rsidR="00C344F9">
        <w:t xml:space="preserve"> </w:t>
      </w:r>
      <w:r w:rsidR="00837FE5">
        <w:t>patients</w:t>
      </w:r>
      <w:r w:rsidR="000C4516">
        <w:t xml:space="preserve"> </w:t>
      </w:r>
      <w:r>
        <w:t>and drop-out rate as the dependent variables of interest</w:t>
      </w:r>
      <w:r w:rsidR="004A40E0">
        <w:t>s</w:t>
      </w:r>
      <w:r>
        <w:t xml:space="preserve">. </w:t>
      </w:r>
      <w:r w:rsidR="0077455B">
        <w:t>My</w:t>
      </w:r>
      <w:r>
        <w:t xml:space="preserve"> main explanatory variables </w:t>
      </w:r>
      <w:r w:rsidR="00C344F9">
        <w:t>were</w:t>
      </w:r>
      <w:r>
        <w:t xml:space="preserve"> the numbers of freestanding EDs within </w:t>
      </w:r>
      <w:r w:rsidR="00837FE5">
        <w:t>the same markets</w:t>
      </w:r>
      <w:r w:rsidR="00C344F9">
        <w:t xml:space="preserve"> of hospital-based EDs</w:t>
      </w:r>
      <w:r w:rsidRPr="00BD64EB">
        <w:rPr>
          <w:noProof/>
        </w:rPr>
        <w:t>,</w:t>
      </w:r>
      <w:r>
        <w:t xml:space="preserve"> and a </w:t>
      </w:r>
      <w:r w:rsidRPr="00BD64EB">
        <w:rPr>
          <w:noProof/>
        </w:rPr>
        <w:t>dummy</w:t>
      </w:r>
      <w:r>
        <w:t xml:space="preserve"> variable for whether the hospital own</w:t>
      </w:r>
      <w:r w:rsidR="00C344F9">
        <w:t>ed</w:t>
      </w:r>
      <w:r>
        <w:t xml:space="preserve"> satellite EDs in outlying areas. </w:t>
      </w:r>
      <w:r w:rsidR="0077455B">
        <w:t>I</w:t>
      </w:r>
      <w:r>
        <w:t xml:space="preserve"> </w:t>
      </w:r>
      <w:r w:rsidR="000C4516">
        <w:t>used</w:t>
      </w:r>
      <w:r>
        <w:t xml:space="preserve"> </w:t>
      </w:r>
      <w:r w:rsidRPr="00BD64EB">
        <w:rPr>
          <w:noProof/>
        </w:rPr>
        <w:t>generalized</w:t>
      </w:r>
      <w:r w:rsidRPr="00D929E1">
        <w:t xml:space="preserve"> linear model</w:t>
      </w:r>
      <w:r>
        <w:t>s</w:t>
      </w:r>
      <w:r w:rsidRPr="00D929E1">
        <w:t xml:space="preserve"> to investigate </w:t>
      </w:r>
      <w:r w:rsidR="00CC3227">
        <w:t>the impact</w:t>
      </w:r>
      <w:r w:rsidR="00C344F9">
        <w:t>s</w:t>
      </w:r>
      <w:r w:rsidR="00E257C1">
        <w:t>.</w:t>
      </w:r>
    </w:p>
    <w:p w14:paraId="68C629EE" w14:textId="784E7AC8" w:rsidR="00A16102" w:rsidRPr="00E257C1" w:rsidRDefault="00A16102" w:rsidP="00A16102">
      <w:pPr>
        <w:jc w:val="both"/>
        <w:rPr>
          <w:u w:val="single"/>
        </w:rPr>
      </w:pPr>
      <w:r w:rsidRPr="00330EB3">
        <w:rPr>
          <w:b/>
        </w:rPr>
        <w:t>Results</w:t>
      </w:r>
      <w:r>
        <w:t>: My</w:t>
      </w:r>
      <w:r w:rsidRPr="002B78A7">
        <w:t xml:space="preserve"> results reveal</w:t>
      </w:r>
      <w:r w:rsidR="00C344F9">
        <w:t>ed</w:t>
      </w:r>
      <w:r w:rsidRPr="002B78A7">
        <w:t xml:space="preserve"> </w:t>
      </w:r>
      <w:r>
        <w:t xml:space="preserve">that </w:t>
      </w:r>
      <w:r w:rsidRPr="002B78A7">
        <w:t>hospital ED visits</w:t>
      </w:r>
      <w:r w:rsidR="00276448">
        <w:t xml:space="preserve">, wait times, </w:t>
      </w:r>
      <w:r w:rsidR="000C4516">
        <w:t>length of visit</w:t>
      </w:r>
      <w:r w:rsidR="004A40E0">
        <w:t xml:space="preserve"> </w:t>
      </w:r>
      <w:r w:rsidR="004A40E0">
        <w:t>for discharged patients</w:t>
      </w:r>
      <w:r w:rsidR="00276448">
        <w:t>, and drop-out rates</w:t>
      </w:r>
      <w:r w:rsidRPr="002B78A7">
        <w:t xml:space="preserve"> </w:t>
      </w:r>
      <w:r w:rsidR="00C344F9">
        <w:t>were</w:t>
      </w:r>
      <w:r w:rsidRPr="002B78A7">
        <w:t xml:space="preserve"> </w:t>
      </w:r>
      <w:r>
        <w:t xml:space="preserve">not </w:t>
      </w:r>
      <w:r w:rsidRPr="002B78A7">
        <w:t>influenced by the entry of freestanding EDs</w:t>
      </w:r>
      <w:r w:rsidR="00C344F9">
        <w:t xml:space="preserve">, neither independent freestanding EDs nor </w:t>
      </w:r>
      <w:r w:rsidR="000C4516">
        <w:t xml:space="preserve">hospital </w:t>
      </w:r>
      <w:r w:rsidR="00C344F9">
        <w:t>satellite EDs</w:t>
      </w:r>
      <w:r>
        <w:t>. S</w:t>
      </w:r>
      <w:r w:rsidRPr="002B78A7">
        <w:t xml:space="preserve">etting up hospital-affiliated </w:t>
      </w:r>
      <w:r w:rsidR="00E257C1">
        <w:t>satellite</w:t>
      </w:r>
      <w:r w:rsidRPr="002B78A7">
        <w:t xml:space="preserve"> ED</w:t>
      </w:r>
      <w:r w:rsidR="00E257C1">
        <w:t>s</w:t>
      </w:r>
      <w:r w:rsidRPr="002B78A7">
        <w:t xml:space="preserve"> </w:t>
      </w:r>
      <w:r w:rsidR="00E257C1">
        <w:t>significantly</w:t>
      </w:r>
      <w:r w:rsidRPr="002B78A7">
        <w:t xml:space="preserve"> increase</w:t>
      </w:r>
      <w:r w:rsidR="00C344F9">
        <w:t>d</w:t>
      </w:r>
      <w:r w:rsidRPr="002B78A7">
        <w:t xml:space="preserve"> the overall</w:t>
      </w:r>
      <w:r>
        <w:t xml:space="preserve"> </w:t>
      </w:r>
      <w:r w:rsidRPr="002B78A7">
        <w:t>ED visits</w:t>
      </w:r>
      <w:r w:rsidR="00E257C1">
        <w:t xml:space="preserve">, </w:t>
      </w:r>
      <w:r w:rsidR="00276448">
        <w:t xml:space="preserve">but </w:t>
      </w:r>
      <w:r w:rsidR="0050491B">
        <w:t xml:space="preserve">did not </w:t>
      </w:r>
      <w:r w:rsidR="000C4516">
        <w:t>help with the</w:t>
      </w:r>
      <w:r w:rsidR="0050491B">
        <w:t xml:space="preserve"> </w:t>
      </w:r>
      <w:r w:rsidR="00E257C1">
        <w:t>wait times</w:t>
      </w:r>
      <w:r w:rsidR="00276448">
        <w:t xml:space="preserve">, </w:t>
      </w:r>
      <w:r w:rsidR="000C4516">
        <w:t xml:space="preserve">length of visit </w:t>
      </w:r>
      <w:r w:rsidR="00276448">
        <w:t xml:space="preserve">or </w:t>
      </w:r>
      <w:r w:rsidR="00E257C1">
        <w:t>drop-out rates</w:t>
      </w:r>
      <w:r w:rsidR="0050491B">
        <w:t xml:space="preserve"> in </w:t>
      </w:r>
      <w:r w:rsidR="004A40E0">
        <w:t xml:space="preserve">their </w:t>
      </w:r>
      <w:r w:rsidR="0050491B">
        <w:t>main hospital-based EDs</w:t>
      </w:r>
      <w:r>
        <w:t xml:space="preserve">. </w:t>
      </w:r>
    </w:p>
    <w:p w14:paraId="53F28A9E" w14:textId="73FAD1C5" w:rsidR="00A16102" w:rsidRDefault="00A16102" w:rsidP="00334F9C">
      <w:pPr>
        <w:jc w:val="both"/>
      </w:pPr>
      <w:r w:rsidRPr="0077455B">
        <w:rPr>
          <w:b/>
        </w:rPr>
        <w:t>Conclusions</w:t>
      </w:r>
      <w:r w:rsidRPr="0077455B">
        <w:t xml:space="preserve">: </w:t>
      </w:r>
      <w:r w:rsidR="0077455B" w:rsidRPr="0077455B">
        <w:t>The entry of freestanding EDs</w:t>
      </w:r>
      <w:r w:rsidR="00276448">
        <w:t xml:space="preserve"> </w:t>
      </w:r>
      <w:r w:rsidR="000C4516">
        <w:t>didn’t</w:t>
      </w:r>
      <w:r w:rsidR="0077455B" w:rsidRPr="0077455B">
        <w:t xml:space="preserve"> help </w:t>
      </w:r>
      <w:r w:rsidR="00C843E8">
        <w:t>relieve congestion</w:t>
      </w:r>
      <w:r w:rsidR="0077455B" w:rsidRPr="0077455B">
        <w:t xml:space="preserve"> in </w:t>
      </w:r>
      <w:r w:rsidR="00B96749">
        <w:t xml:space="preserve">nearby </w:t>
      </w:r>
      <w:r w:rsidR="0077455B" w:rsidRPr="0077455B">
        <w:t>hospitals.</w:t>
      </w:r>
      <w:r w:rsidR="0077455B">
        <w:t xml:space="preserve"> </w:t>
      </w:r>
      <w:r w:rsidR="008A265C">
        <w:t xml:space="preserve">By offering more choices, </w:t>
      </w:r>
      <w:r w:rsidR="00CD20BA">
        <w:t>they expand</w:t>
      </w:r>
      <w:r w:rsidR="00B96749">
        <w:t>ed</w:t>
      </w:r>
      <w:r w:rsidR="00CD20BA">
        <w:t xml:space="preserve"> the market and increase</w:t>
      </w:r>
      <w:r w:rsidR="00B96749">
        <w:t>d</w:t>
      </w:r>
      <w:r w:rsidR="00CD20BA">
        <w:t xml:space="preserve"> the usage of emergency services. </w:t>
      </w:r>
      <w:r w:rsidR="00C843E8">
        <w:t>As a result,</w:t>
      </w:r>
      <w:r w:rsidRPr="0077455B">
        <w:t xml:space="preserve"> the existing policy, instead of relieving the hospital burden, stimulate</w:t>
      </w:r>
      <w:r w:rsidR="004D36BF">
        <w:t>d</w:t>
      </w:r>
      <w:r w:rsidRPr="0077455B">
        <w:t xml:space="preserve"> the demand for emergency services and increase</w:t>
      </w:r>
      <w:r w:rsidR="004D36BF">
        <w:t>d</w:t>
      </w:r>
      <w:r w:rsidRPr="0077455B">
        <w:t xml:space="preserve"> healthcare spending. </w:t>
      </w:r>
    </w:p>
    <w:p w14:paraId="42855F5D" w14:textId="77777777" w:rsidR="00642826" w:rsidRPr="0077455B" w:rsidRDefault="00642826" w:rsidP="00334F9C">
      <w:pPr>
        <w:jc w:val="both"/>
      </w:pPr>
    </w:p>
    <w:p w14:paraId="2E5AF6B5" w14:textId="30449349" w:rsidR="001E0597" w:rsidRDefault="001E0597" w:rsidP="00344432">
      <w:pPr>
        <w:jc w:val="both"/>
        <w:rPr>
          <w:rFonts w:cstheme="minorHAnsi"/>
          <w:b/>
          <w:color w:val="FF0000"/>
          <w:sz w:val="44"/>
          <w:szCs w:val="44"/>
        </w:rPr>
      </w:pPr>
      <w:r>
        <w:rPr>
          <w:rFonts w:cstheme="minorHAnsi"/>
          <w:b/>
          <w:color w:val="FF0000"/>
          <w:sz w:val="44"/>
          <w:szCs w:val="44"/>
        </w:rPr>
        <w:br w:type="page"/>
      </w:r>
    </w:p>
    <w:p w14:paraId="560A5943" w14:textId="084DDE6F" w:rsidR="008E7E57" w:rsidRPr="008A3C15" w:rsidRDefault="001D2B52" w:rsidP="008E7E57">
      <w:pPr>
        <w:jc w:val="both"/>
        <w:rPr>
          <w:rFonts w:cstheme="minorHAnsi"/>
          <w:b/>
          <w:color w:val="FF0000"/>
          <w:sz w:val="44"/>
          <w:szCs w:val="44"/>
        </w:rPr>
      </w:pPr>
      <w:r>
        <w:rPr>
          <w:rFonts w:cstheme="minorHAnsi"/>
          <w:b/>
          <w:color w:val="FF0000"/>
          <w:sz w:val="44"/>
          <w:szCs w:val="44"/>
        </w:rPr>
        <w:lastRenderedPageBreak/>
        <w:t>Introduction</w:t>
      </w:r>
      <w:r w:rsidR="008E7E57" w:rsidRPr="008A3C15">
        <w:rPr>
          <w:rFonts w:cstheme="minorHAnsi"/>
          <w:b/>
          <w:color w:val="FF0000"/>
          <w:sz w:val="44"/>
          <w:szCs w:val="44"/>
        </w:rPr>
        <w:t>:</w:t>
      </w:r>
    </w:p>
    <w:p w14:paraId="611129A1" w14:textId="1A04994E" w:rsidR="00201F46" w:rsidRDefault="00DB4CE5" w:rsidP="00DB4CE5">
      <w:pPr>
        <w:jc w:val="both"/>
        <w:rPr>
          <w:rFonts w:cstheme="minorHAnsi"/>
        </w:rPr>
      </w:pPr>
      <w:r w:rsidRPr="00B3786E">
        <w:rPr>
          <w:rFonts w:cstheme="minorHAnsi"/>
        </w:rPr>
        <w:t xml:space="preserve">The past decade has witnessed a growing trend in using emergency </w:t>
      </w:r>
      <w:r>
        <w:rPr>
          <w:rFonts w:cstheme="minorHAnsi"/>
        </w:rPr>
        <w:t>care</w:t>
      </w:r>
      <w:r w:rsidRPr="00B3786E">
        <w:rPr>
          <w:rFonts w:cstheme="minorHAnsi"/>
        </w:rPr>
        <w:t>. Based on the 2015 National Hospital Ambulatory Medical Care Survey</w:t>
      </w:r>
      <w:r w:rsidRPr="00B3786E">
        <w:rPr>
          <w:rStyle w:val="FootnoteReference"/>
          <w:rFonts w:cstheme="minorHAnsi"/>
        </w:rPr>
        <w:footnoteReference w:id="1"/>
      </w:r>
      <w:r w:rsidRPr="00B3786E">
        <w:rPr>
          <w:rFonts w:cstheme="minorHAnsi"/>
        </w:rPr>
        <w:t xml:space="preserve">, the number of </w:t>
      </w:r>
      <w:r w:rsidR="0077455B">
        <w:rPr>
          <w:rFonts w:cstheme="minorHAnsi"/>
        </w:rPr>
        <w:t>Emergency Department (</w:t>
      </w:r>
      <w:r w:rsidRPr="00B3786E">
        <w:rPr>
          <w:rFonts w:cstheme="minorHAnsi"/>
        </w:rPr>
        <w:t>ED</w:t>
      </w:r>
      <w:r w:rsidR="0077455B">
        <w:rPr>
          <w:rFonts w:cstheme="minorHAnsi"/>
        </w:rPr>
        <w:t>)</w:t>
      </w:r>
      <w:r w:rsidRPr="00B3786E">
        <w:rPr>
          <w:rFonts w:cstheme="minorHAnsi"/>
        </w:rPr>
        <w:t xml:space="preserve"> visits reached 136.9 million nationally, with an average of 0.43 visit per person annually. Texas, as the second most populous US state, </w:t>
      </w:r>
      <w:r>
        <w:rPr>
          <w:rFonts w:cstheme="minorHAnsi"/>
        </w:rPr>
        <w:t xml:space="preserve">had </w:t>
      </w:r>
      <w:r w:rsidR="00CD2AF8">
        <w:rPr>
          <w:rFonts w:cstheme="minorHAnsi"/>
        </w:rPr>
        <w:t>nearly</w:t>
      </w:r>
      <w:r w:rsidR="00E05F82">
        <w:rPr>
          <w:rFonts w:cstheme="minorHAnsi"/>
        </w:rPr>
        <w:t xml:space="preserve"> 1</w:t>
      </w:r>
      <w:r w:rsidR="00CD2AF8">
        <w:rPr>
          <w:rFonts w:cstheme="minorHAnsi"/>
        </w:rPr>
        <w:t>2</w:t>
      </w:r>
      <w:r>
        <w:rPr>
          <w:rFonts w:cstheme="minorHAnsi"/>
        </w:rPr>
        <w:t xml:space="preserve"> million ED visits in 201</w:t>
      </w:r>
      <w:r w:rsidR="00CD2AF8">
        <w:rPr>
          <w:rFonts w:cstheme="minorHAnsi"/>
        </w:rPr>
        <w:t>6</w:t>
      </w:r>
      <w:r w:rsidRPr="00B3786E">
        <w:rPr>
          <w:rFonts w:cstheme="minorHAnsi"/>
        </w:rPr>
        <w:t xml:space="preserve"> with </w:t>
      </w:r>
      <w:r w:rsidR="00744163">
        <w:rPr>
          <w:rFonts w:cstheme="minorHAnsi"/>
        </w:rPr>
        <w:t>an annual</w:t>
      </w:r>
      <w:r w:rsidR="00652211">
        <w:rPr>
          <w:rFonts w:cstheme="minorHAnsi"/>
        </w:rPr>
        <w:t xml:space="preserve"> increase </w:t>
      </w:r>
      <w:r w:rsidR="00CD2AF8">
        <w:rPr>
          <w:rFonts w:cstheme="minorHAnsi"/>
        </w:rPr>
        <w:t>rate</w:t>
      </w:r>
      <w:r w:rsidR="00744163">
        <w:rPr>
          <w:rFonts w:cstheme="minorHAnsi"/>
        </w:rPr>
        <w:t xml:space="preserve"> over 2%</w:t>
      </w:r>
      <w:r w:rsidR="004D36BF">
        <w:rPr>
          <w:rStyle w:val="FootnoteReference"/>
          <w:rFonts w:cstheme="minorHAnsi"/>
        </w:rPr>
        <w:footnoteReference w:id="2"/>
      </w:r>
      <w:r w:rsidR="004D36BF">
        <w:rPr>
          <w:rFonts w:cstheme="minorHAnsi"/>
        </w:rPr>
        <w:t xml:space="preserve">. </w:t>
      </w:r>
      <w:r w:rsidR="004E2B6D">
        <w:rPr>
          <w:rFonts w:cstheme="minorHAnsi"/>
        </w:rPr>
        <w:t>It is often argued that t</w:t>
      </w:r>
      <w:r w:rsidRPr="00190ABF">
        <w:rPr>
          <w:rFonts w:cstheme="minorHAnsi"/>
        </w:rPr>
        <w:t>he sharp rise in ED visits</w:t>
      </w:r>
      <w:r>
        <w:rPr>
          <w:rFonts w:cstheme="minorHAnsi"/>
        </w:rPr>
        <w:t xml:space="preserve"> </w:t>
      </w:r>
      <w:r w:rsidRPr="00190ABF">
        <w:rPr>
          <w:rFonts w:cstheme="minorHAnsi"/>
        </w:rPr>
        <w:t>limits access to timely emergency care</w:t>
      </w:r>
      <w:r>
        <w:rPr>
          <w:rFonts w:cstheme="minorHAnsi"/>
        </w:rPr>
        <w:t xml:space="preserve">. </w:t>
      </w:r>
      <w:r w:rsidRPr="00190ABF">
        <w:rPr>
          <w:rFonts w:cstheme="minorHAnsi"/>
        </w:rPr>
        <w:t xml:space="preserve"> </w:t>
      </w:r>
    </w:p>
    <w:p w14:paraId="7BD2BA2E" w14:textId="22BD4135" w:rsidR="00201F46" w:rsidRDefault="00201F46" w:rsidP="00514C32">
      <w:pPr>
        <w:jc w:val="both"/>
        <w:rPr>
          <w:rFonts w:cstheme="minorHAnsi"/>
        </w:rPr>
      </w:pPr>
      <w:r>
        <w:rPr>
          <w:rFonts w:cstheme="minorHAnsi"/>
        </w:rPr>
        <w:t>I</w:t>
      </w:r>
      <w:r w:rsidRPr="006D6416">
        <w:rPr>
          <w:rFonts w:cstheme="minorHAnsi"/>
          <w:color w:val="231F20"/>
        </w:rPr>
        <w:t>n an effort to relieve hospital emergency congestion and help patients access care in emergency service shortage areas</w:t>
      </w:r>
      <w:r>
        <w:rPr>
          <w:rFonts w:cstheme="minorHAnsi"/>
          <w:color w:val="231F20"/>
        </w:rPr>
        <w:t xml:space="preserve">, freestanding EDs were introduced in many states in the U.S. </w:t>
      </w:r>
      <w:r>
        <w:rPr>
          <w:rFonts w:cstheme="minorHAnsi"/>
        </w:rPr>
        <w:t>D</w:t>
      </w:r>
      <w:r w:rsidR="00514C32" w:rsidRPr="00202C37">
        <w:rPr>
          <w:rFonts w:cstheme="minorHAnsi"/>
        </w:rPr>
        <w:t xml:space="preserve">elivering emergency </w:t>
      </w:r>
      <w:r w:rsidR="00514C32">
        <w:rPr>
          <w:rFonts w:cstheme="minorHAnsi"/>
        </w:rPr>
        <w:t>care service</w:t>
      </w:r>
      <w:r w:rsidR="00514C32" w:rsidRPr="00202C37">
        <w:rPr>
          <w:rFonts w:cstheme="minorHAnsi"/>
        </w:rPr>
        <w:t xml:space="preserve"> is not necessary to be happened in the traditional hospital-based </w:t>
      </w:r>
      <w:r w:rsidR="00514C32">
        <w:rPr>
          <w:rFonts w:cstheme="minorHAnsi"/>
        </w:rPr>
        <w:t>ED</w:t>
      </w:r>
      <w:r w:rsidR="004A40E0">
        <w:rPr>
          <w:rFonts w:cstheme="minorHAnsi"/>
        </w:rPr>
        <w:t>s</w:t>
      </w:r>
      <w:bookmarkStart w:id="0" w:name="_GoBack"/>
      <w:bookmarkEnd w:id="0"/>
      <w:r w:rsidR="00514C32" w:rsidRPr="00202C37">
        <w:rPr>
          <w:rFonts w:cstheme="minorHAnsi"/>
        </w:rPr>
        <w:t>.</w:t>
      </w:r>
      <w:r w:rsidR="00DB4CE5">
        <w:rPr>
          <w:rFonts w:cstheme="minorHAnsi"/>
        </w:rPr>
        <w:t xml:space="preserve"> Freestanding EDs, </w:t>
      </w:r>
      <w:r w:rsidR="00514C32">
        <w:rPr>
          <w:rFonts w:cstheme="minorHAnsi"/>
        </w:rPr>
        <w:t>which are structurally separate and distinct from hospital</w:t>
      </w:r>
      <w:r w:rsidR="00A40C10">
        <w:rPr>
          <w:rFonts w:cstheme="minorHAnsi"/>
        </w:rPr>
        <w:t>s</w:t>
      </w:r>
      <w:r w:rsidR="00514C32">
        <w:rPr>
          <w:rFonts w:cstheme="minorHAnsi"/>
        </w:rPr>
        <w:t xml:space="preserve">, </w:t>
      </w:r>
      <w:r w:rsidR="00514C32">
        <w:rPr>
          <w:rFonts w:cstheme="minorHAnsi"/>
          <w:color w:val="231F20"/>
        </w:rPr>
        <w:t xml:space="preserve">flourished </w:t>
      </w:r>
      <w:r w:rsidR="00514C32">
        <w:rPr>
          <w:rFonts w:cstheme="minorHAnsi"/>
        </w:rPr>
        <w:t>in urban communities</w:t>
      </w:r>
      <w:r>
        <w:rPr>
          <w:rFonts w:cstheme="minorHAnsi"/>
        </w:rPr>
        <w:t xml:space="preserve"> and </w:t>
      </w:r>
      <w:r>
        <w:rPr>
          <w:rFonts w:cstheme="minorHAnsi"/>
          <w:color w:val="231F20"/>
        </w:rPr>
        <w:t>changed the emergency service markets</w:t>
      </w:r>
      <w:r w:rsidR="00514C32">
        <w:rPr>
          <w:rFonts w:cstheme="minorHAnsi"/>
        </w:rPr>
        <w:t xml:space="preserve">. </w:t>
      </w:r>
    </w:p>
    <w:p w14:paraId="59996FE9" w14:textId="4D068113" w:rsidR="00201F46" w:rsidRDefault="00652211" w:rsidP="00514C32">
      <w:pPr>
        <w:jc w:val="both"/>
        <w:rPr>
          <w:rFonts w:cstheme="minorHAnsi"/>
        </w:rPr>
      </w:pPr>
      <w:r>
        <w:rPr>
          <w:rFonts w:cstheme="minorHAnsi"/>
        </w:rPr>
        <w:t>T</w:t>
      </w:r>
      <w:r w:rsidR="00DB4CE5" w:rsidRPr="000838EB">
        <w:rPr>
          <w:rFonts w:cstheme="minorHAnsi"/>
        </w:rPr>
        <w:t xml:space="preserve">wo types of </w:t>
      </w:r>
      <w:r w:rsidR="004E2B6D" w:rsidRPr="000838EB">
        <w:rPr>
          <w:rFonts w:cstheme="minorHAnsi"/>
        </w:rPr>
        <w:t>freest</w:t>
      </w:r>
      <w:r w:rsidR="004E2B6D">
        <w:rPr>
          <w:rFonts w:cstheme="minorHAnsi"/>
        </w:rPr>
        <w:t>a</w:t>
      </w:r>
      <w:r w:rsidR="004E2B6D" w:rsidRPr="000838EB">
        <w:rPr>
          <w:rFonts w:cstheme="minorHAnsi"/>
        </w:rPr>
        <w:t>nding</w:t>
      </w:r>
      <w:r w:rsidR="00DB4CE5" w:rsidRPr="000838EB">
        <w:rPr>
          <w:rFonts w:cstheme="minorHAnsi"/>
        </w:rPr>
        <w:t xml:space="preserve"> EDs</w:t>
      </w:r>
      <w:r w:rsidR="00DB4CE5">
        <w:rPr>
          <w:rFonts w:cstheme="minorHAnsi"/>
        </w:rPr>
        <w:t xml:space="preserve"> in Texas, </w:t>
      </w:r>
      <w:r w:rsidR="00A40C10">
        <w:rPr>
          <w:rFonts w:cstheme="minorHAnsi"/>
        </w:rPr>
        <w:t>i</w:t>
      </w:r>
      <w:r w:rsidR="00DB4CE5">
        <w:rPr>
          <w:rFonts w:cstheme="minorHAnsi"/>
        </w:rPr>
        <w:t xml:space="preserve">ndependent </w:t>
      </w:r>
      <w:r w:rsidR="00DB4CE5">
        <w:rPr>
          <w:rFonts w:cstheme="minorHAnsi"/>
          <w:color w:val="231F20"/>
        </w:rPr>
        <w:t xml:space="preserve">freestanding </w:t>
      </w:r>
      <w:r w:rsidR="00DB4CE5">
        <w:rPr>
          <w:rFonts w:cstheme="minorHAnsi"/>
        </w:rPr>
        <w:t xml:space="preserve">EDs and </w:t>
      </w:r>
      <w:r w:rsidR="00DB4CE5">
        <w:rPr>
          <w:rFonts w:cstheme="minorHAnsi"/>
          <w:color w:val="231F20"/>
        </w:rPr>
        <w:t>hospital-affiliated satellite EDs</w:t>
      </w:r>
      <w:r>
        <w:rPr>
          <w:rFonts w:cstheme="minorHAnsi"/>
          <w:color w:val="231F20"/>
        </w:rPr>
        <w:t xml:space="preserve">, can be found </w:t>
      </w:r>
      <w:r w:rsidR="00201F46">
        <w:rPr>
          <w:rFonts w:cstheme="minorHAnsi"/>
          <w:color w:val="231F20"/>
        </w:rPr>
        <w:t>in Texas</w:t>
      </w:r>
      <w:r w:rsidR="00DB4CE5">
        <w:rPr>
          <w:rFonts w:cstheme="minorHAnsi"/>
          <w:color w:val="231F20"/>
        </w:rPr>
        <w:t xml:space="preserve">. </w:t>
      </w:r>
      <w:r w:rsidR="00514C32">
        <w:rPr>
          <w:rFonts w:cstheme="minorHAnsi"/>
        </w:rPr>
        <w:t xml:space="preserve">Independent </w:t>
      </w:r>
      <w:r w:rsidR="00514C32">
        <w:rPr>
          <w:rFonts w:cstheme="minorHAnsi"/>
          <w:color w:val="231F20"/>
        </w:rPr>
        <w:t xml:space="preserve">freestanding </w:t>
      </w:r>
      <w:r w:rsidR="00514C32">
        <w:rPr>
          <w:rFonts w:cstheme="minorHAnsi"/>
        </w:rPr>
        <w:t>EDs</w:t>
      </w:r>
      <w:r w:rsidR="000A01E1">
        <w:rPr>
          <w:rFonts w:cstheme="minorHAnsi"/>
        </w:rPr>
        <w:t xml:space="preserve"> </w:t>
      </w:r>
      <w:r w:rsidR="00514C32">
        <w:rPr>
          <w:rFonts w:cstheme="minorHAnsi"/>
        </w:rPr>
        <w:t>became available in 2009 under the Texas</w:t>
      </w:r>
      <w:r w:rsidR="00514C32" w:rsidRPr="006D6416">
        <w:rPr>
          <w:rFonts w:cstheme="minorHAnsi"/>
          <w:color w:val="231F20"/>
        </w:rPr>
        <w:t xml:space="preserve"> </w:t>
      </w:r>
      <w:r w:rsidR="00514C32">
        <w:rPr>
          <w:rFonts w:cstheme="minorHAnsi"/>
          <w:color w:val="231F20"/>
        </w:rPr>
        <w:t>Freestanding Emergency Medical Care Facility Licensing Act by the 81</w:t>
      </w:r>
      <w:r w:rsidR="00514C32" w:rsidRPr="00EE1B83">
        <w:rPr>
          <w:rFonts w:cstheme="minorHAnsi"/>
          <w:color w:val="231F20"/>
          <w:vertAlign w:val="superscript"/>
        </w:rPr>
        <w:t>st</w:t>
      </w:r>
      <w:r w:rsidR="00514C32">
        <w:rPr>
          <w:rFonts w:cstheme="minorHAnsi"/>
          <w:color w:val="231F20"/>
        </w:rPr>
        <w:t xml:space="preserve"> Legislature</w:t>
      </w:r>
      <w:r w:rsidR="00744163">
        <w:rPr>
          <w:rStyle w:val="FootnoteReference"/>
          <w:rFonts w:cstheme="minorHAnsi"/>
          <w:color w:val="231F20"/>
        </w:rPr>
        <w:footnoteReference w:id="3"/>
      </w:r>
      <w:r w:rsidR="00514C32">
        <w:rPr>
          <w:rFonts w:cstheme="minorHAnsi"/>
          <w:color w:val="231F20"/>
        </w:rPr>
        <w:t>. Those independent freestanding EDs are not required to function under a hospital’s license</w:t>
      </w:r>
      <w:r w:rsidR="00514C32" w:rsidRPr="006D6416">
        <w:rPr>
          <w:rFonts w:cstheme="minorHAnsi"/>
          <w:color w:val="231F20"/>
        </w:rPr>
        <w:t xml:space="preserve"> </w:t>
      </w:r>
      <w:r w:rsidR="00514C32">
        <w:rPr>
          <w:rFonts w:cstheme="minorHAnsi"/>
          <w:color w:val="231F20"/>
        </w:rPr>
        <w:t xml:space="preserve">and can be operated </w:t>
      </w:r>
      <w:r w:rsidR="00514C32" w:rsidRPr="000953F1">
        <w:rPr>
          <w:rFonts w:cstheme="minorHAnsi"/>
          <w:color w:val="231F20"/>
        </w:rPr>
        <w:t>by private parties.</w:t>
      </w:r>
      <w:r w:rsidR="00514C32">
        <w:rPr>
          <w:rFonts w:cstheme="minorHAnsi"/>
          <w:color w:val="231F20"/>
        </w:rPr>
        <w:t xml:space="preserve"> </w:t>
      </w:r>
      <w:r w:rsidR="00DB4CE5">
        <w:rPr>
          <w:rFonts w:cstheme="minorHAnsi"/>
          <w:color w:val="231F20"/>
        </w:rPr>
        <w:t xml:space="preserve">The </w:t>
      </w:r>
      <w:r w:rsidR="00514C32">
        <w:rPr>
          <w:rFonts w:cstheme="minorHAnsi"/>
          <w:color w:val="231F20"/>
        </w:rPr>
        <w:t>hospital-affiliated satellite ED</w:t>
      </w:r>
      <w:r w:rsidR="00DB4CE5">
        <w:rPr>
          <w:rFonts w:cstheme="minorHAnsi"/>
          <w:color w:val="231F20"/>
        </w:rPr>
        <w:t>s</w:t>
      </w:r>
      <w:r w:rsidR="000A01E1">
        <w:rPr>
          <w:rFonts w:cstheme="minorHAnsi"/>
          <w:color w:val="231F20"/>
        </w:rPr>
        <w:t xml:space="preserve"> </w:t>
      </w:r>
      <w:r w:rsidR="00514C32">
        <w:rPr>
          <w:rFonts w:cstheme="minorHAnsi"/>
          <w:color w:val="231F20"/>
        </w:rPr>
        <w:t xml:space="preserve">are owned and operated by their parent hospitals or hospital systems. </w:t>
      </w:r>
      <w:r w:rsidR="000A01E1">
        <w:rPr>
          <w:rFonts w:cstheme="minorHAnsi"/>
          <w:color w:val="231F20"/>
        </w:rPr>
        <w:t xml:space="preserve">Different from independent freestanding EDs, satellite EDs receive Medicare and Medicaid reimbursement from government and </w:t>
      </w:r>
      <w:r w:rsidR="00A40C10">
        <w:rPr>
          <w:rFonts w:cstheme="minorHAnsi"/>
          <w:color w:val="231F20"/>
        </w:rPr>
        <w:t xml:space="preserve">get paid by </w:t>
      </w:r>
      <w:r w:rsidR="000A01E1">
        <w:rPr>
          <w:rFonts w:cstheme="minorHAnsi"/>
          <w:color w:val="231F20"/>
        </w:rPr>
        <w:t xml:space="preserve">private insurance under the name of their parent hospitals. </w:t>
      </w:r>
      <w:r w:rsidR="00514C32">
        <w:rPr>
          <w:rFonts w:cstheme="minorHAnsi"/>
          <w:color w:val="231F20"/>
        </w:rPr>
        <w:t xml:space="preserve">Both types of freestanding EDs </w:t>
      </w:r>
      <w:bookmarkStart w:id="1" w:name="OLE_LINK1"/>
      <w:bookmarkStart w:id="2" w:name="OLE_LINK2"/>
      <w:r w:rsidR="00514C32">
        <w:rPr>
          <w:rFonts w:cstheme="minorHAnsi"/>
          <w:color w:val="231F20"/>
        </w:rPr>
        <w:t xml:space="preserve">thrive </w:t>
      </w:r>
      <w:bookmarkEnd w:id="1"/>
      <w:bookmarkEnd w:id="2"/>
      <w:r w:rsidR="00514C32">
        <w:rPr>
          <w:rFonts w:cstheme="minorHAnsi"/>
          <w:color w:val="231F20"/>
        </w:rPr>
        <w:t xml:space="preserve">in the loose regulatory environment in Texas. </w:t>
      </w:r>
      <w:r w:rsidR="00514C32">
        <w:rPr>
          <w:rFonts w:cstheme="minorHAnsi"/>
        </w:rPr>
        <w:t>By the end of 201</w:t>
      </w:r>
      <w:r w:rsidR="00B964F3">
        <w:rPr>
          <w:rFonts w:cstheme="minorHAnsi"/>
        </w:rPr>
        <w:t>6</w:t>
      </w:r>
      <w:r w:rsidR="00514C32">
        <w:rPr>
          <w:rFonts w:cstheme="minorHAnsi"/>
        </w:rPr>
        <w:t xml:space="preserve">, over </w:t>
      </w:r>
      <w:r w:rsidR="00B964F3">
        <w:rPr>
          <w:rFonts w:cstheme="minorHAnsi"/>
        </w:rPr>
        <w:t>300</w:t>
      </w:r>
      <w:r w:rsidR="00514C32">
        <w:rPr>
          <w:rFonts w:cstheme="minorHAnsi"/>
        </w:rPr>
        <w:t xml:space="preserve"> freestanding EDs </w:t>
      </w:r>
      <w:r w:rsidR="00A40C10">
        <w:rPr>
          <w:rFonts w:cstheme="minorHAnsi"/>
        </w:rPr>
        <w:t>were</w:t>
      </w:r>
      <w:r w:rsidR="00514C32">
        <w:rPr>
          <w:rFonts w:cstheme="minorHAnsi"/>
        </w:rPr>
        <w:t xml:space="preserve"> </w:t>
      </w:r>
      <w:r w:rsidR="00514C32">
        <w:rPr>
          <w:rFonts w:cstheme="minorHAnsi"/>
          <w:color w:val="231F20"/>
        </w:rPr>
        <w:t xml:space="preserve">found </w:t>
      </w:r>
      <w:r w:rsidR="00514C32">
        <w:rPr>
          <w:rFonts w:cstheme="minorHAnsi"/>
        </w:rPr>
        <w:t xml:space="preserve">in the state, and </w:t>
      </w:r>
      <w:r w:rsidR="00B964F3">
        <w:rPr>
          <w:rFonts w:cstheme="minorHAnsi"/>
        </w:rPr>
        <w:t>about two thirds</w:t>
      </w:r>
      <w:r w:rsidR="00514C32">
        <w:rPr>
          <w:rFonts w:cstheme="minorHAnsi"/>
        </w:rPr>
        <w:t xml:space="preserve"> </w:t>
      </w:r>
      <w:r w:rsidR="00713ACA">
        <w:rPr>
          <w:rFonts w:cstheme="minorHAnsi"/>
        </w:rPr>
        <w:t>were</w:t>
      </w:r>
      <w:r w:rsidR="00514C32">
        <w:rPr>
          <w:rFonts w:cstheme="minorHAnsi"/>
        </w:rPr>
        <w:t xml:space="preserve"> independent freestanding EDs, which </w:t>
      </w:r>
      <w:r w:rsidR="00713ACA">
        <w:rPr>
          <w:rFonts w:cstheme="minorHAnsi"/>
        </w:rPr>
        <w:t>were</w:t>
      </w:r>
      <w:r w:rsidR="00514C32">
        <w:rPr>
          <w:rFonts w:cstheme="minorHAnsi"/>
        </w:rPr>
        <w:t xml:space="preserve"> private-owned and for-profit</w:t>
      </w:r>
      <w:r w:rsidR="007D2533">
        <w:rPr>
          <w:rFonts w:cstheme="minorHAnsi"/>
        </w:rPr>
        <w:t xml:space="preserve"> facilities</w:t>
      </w:r>
      <w:r w:rsidR="00514C32">
        <w:rPr>
          <w:rFonts w:cstheme="minorHAnsi"/>
        </w:rPr>
        <w:t xml:space="preserve">. </w:t>
      </w:r>
    </w:p>
    <w:p w14:paraId="5AC14167" w14:textId="30AC35D1" w:rsidR="006C6BB3" w:rsidRPr="00437DC6" w:rsidRDefault="006C6BB3" w:rsidP="00514C32">
      <w:pPr>
        <w:jc w:val="both"/>
        <w:rPr>
          <w:rFonts w:cstheme="minorHAnsi"/>
          <w:b/>
        </w:rPr>
      </w:pPr>
      <w:r w:rsidRPr="00437DC6">
        <w:rPr>
          <w:rFonts w:cstheme="minorHAnsi"/>
          <w:b/>
        </w:rPr>
        <w:t xml:space="preserve">Importance </w:t>
      </w:r>
    </w:p>
    <w:p w14:paraId="6B687F1A" w14:textId="7D974C4B" w:rsidR="009B3F52" w:rsidRDefault="00F737F8" w:rsidP="009B3F52">
      <w:pPr>
        <w:jc w:val="both"/>
        <w:rPr>
          <w:rFonts w:cstheme="minorHAnsi"/>
        </w:rPr>
      </w:pPr>
      <w:r>
        <w:rPr>
          <w:rFonts w:cstheme="minorHAnsi"/>
        </w:rPr>
        <w:t xml:space="preserve">The </w:t>
      </w:r>
      <w:r w:rsidRPr="002A019E">
        <w:rPr>
          <w:rFonts w:cstheme="minorHAnsi"/>
          <w:color w:val="231F20"/>
        </w:rPr>
        <w:t xml:space="preserve">proliferation </w:t>
      </w:r>
      <w:r>
        <w:rPr>
          <w:rFonts w:cstheme="minorHAnsi"/>
        </w:rPr>
        <w:t>of freestanding EDs ha</w:t>
      </w:r>
      <w:r w:rsidR="00713ACA">
        <w:rPr>
          <w:rFonts w:cstheme="minorHAnsi"/>
        </w:rPr>
        <w:t>s</w:t>
      </w:r>
      <w:r>
        <w:rPr>
          <w:rFonts w:cstheme="minorHAnsi"/>
        </w:rPr>
        <w:t xml:space="preserve"> provided both opportunities and challenges for healthcare providers, legislators, and payers. </w:t>
      </w:r>
      <w:r w:rsidR="00514C32" w:rsidRPr="002A019E">
        <w:rPr>
          <w:rFonts w:cstheme="minorHAnsi"/>
          <w:color w:val="231F20"/>
        </w:rPr>
        <w:t>Much has been debated about the new policy.</w:t>
      </w:r>
      <w:r w:rsidR="00514C32">
        <w:rPr>
          <w:rFonts w:cstheme="minorHAnsi"/>
          <w:color w:val="231F20"/>
        </w:rPr>
        <w:t xml:space="preserve"> It is true that freestanding EDs provide time-effectively emergency care without long </w:t>
      </w:r>
      <w:r w:rsidR="00C95FEB">
        <w:rPr>
          <w:rFonts w:cstheme="minorHAnsi"/>
          <w:color w:val="231F20"/>
        </w:rPr>
        <w:t>wait times</w:t>
      </w:r>
      <w:r w:rsidR="00514C32">
        <w:rPr>
          <w:rFonts w:cstheme="minorHAnsi"/>
          <w:color w:val="231F20"/>
        </w:rPr>
        <w:t xml:space="preserve"> in hospitals</w:t>
      </w:r>
      <w:r w:rsidR="00581574">
        <w:rPr>
          <w:rFonts w:cstheme="minorHAnsi"/>
          <w:color w:val="231F20"/>
        </w:rPr>
        <w:t>. For those</w:t>
      </w:r>
      <w:r w:rsidR="00713ACA">
        <w:rPr>
          <w:rFonts w:cstheme="minorHAnsi"/>
          <w:color w:val="231F20"/>
        </w:rPr>
        <w:t xml:space="preserve"> </w:t>
      </w:r>
      <w:r w:rsidR="00581574">
        <w:rPr>
          <w:rFonts w:cstheme="minorHAnsi"/>
        </w:rPr>
        <w:t>patients with low-acuity suffering from long wait times in hospital</w:t>
      </w:r>
      <w:r w:rsidR="008F5EA5">
        <w:rPr>
          <w:rFonts w:cstheme="minorHAnsi"/>
        </w:rPr>
        <w:t>s</w:t>
      </w:r>
      <w:r w:rsidR="00581574">
        <w:rPr>
          <w:rFonts w:cstheme="minorHAnsi"/>
        </w:rPr>
        <w:t>, no wait time in freestanding EDs is attractive</w:t>
      </w:r>
      <w:r w:rsidR="00581574">
        <w:rPr>
          <w:rFonts w:cstheme="minorHAnsi"/>
          <w:color w:val="231F20"/>
        </w:rPr>
        <w:t xml:space="preserve">. </w:t>
      </w:r>
      <w:r w:rsidR="00514C32" w:rsidRPr="002A019E">
        <w:rPr>
          <w:rFonts w:cstheme="minorHAnsi"/>
        </w:rPr>
        <w:t>However, critics arg</w:t>
      </w:r>
      <w:r w:rsidR="00713ACA">
        <w:rPr>
          <w:rFonts w:cstheme="minorHAnsi"/>
        </w:rPr>
        <w:t>ue</w:t>
      </w:r>
      <w:r w:rsidR="00514C32" w:rsidRPr="002A019E">
        <w:rPr>
          <w:rFonts w:cstheme="minorHAnsi"/>
        </w:rPr>
        <w:t xml:space="preserve"> that the facilities increase</w:t>
      </w:r>
      <w:r w:rsidR="00713ACA">
        <w:rPr>
          <w:rFonts w:cstheme="minorHAnsi"/>
        </w:rPr>
        <w:t>d</w:t>
      </w:r>
      <w:r w:rsidR="00514C32" w:rsidRPr="002A019E">
        <w:rPr>
          <w:rFonts w:cstheme="minorHAnsi"/>
        </w:rPr>
        <w:t xml:space="preserve"> </w:t>
      </w:r>
      <w:r w:rsidR="00514C32">
        <w:rPr>
          <w:rFonts w:cstheme="minorHAnsi"/>
        </w:rPr>
        <w:t xml:space="preserve">overall healthcare </w:t>
      </w:r>
      <w:r w:rsidR="00514C32" w:rsidRPr="002A019E">
        <w:rPr>
          <w:rFonts w:cstheme="minorHAnsi"/>
        </w:rPr>
        <w:t xml:space="preserve">spending, </w:t>
      </w:r>
      <w:r w:rsidR="00514C32">
        <w:rPr>
          <w:rFonts w:cstheme="minorHAnsi"/>
        </w:rPr>
        <w:t>by</w:t>
      </w:r>
      <w:r w:rsidR="00514C32" w:rsidRPr="002A019E">
        <w:rPr>
          <w:rFonts w:cstheme="minorHAnsi"/>
        </w:rPr>
        <w:t xml:space="preserve"> serv</w:t>
      </w:r>
      <w:r w:rsidR="00514C32">
        <w:rPr>
          <w:rFonts w:cstheme="minorHAnsi"/>
        </w:rPr>
        <w:t>ing</w:t>
      </w:r>
      <w:r w:rsidR="00514C32" w:rsidRPr="002A019E">
        <w:rPr>
          <w:rFonts w:cstheme="minorHAnsi"/>
        </w:rPr>
        <w:t xml:space="preserve"> as supplements rather than substitutes</w:t>
      </w:r>
      <w:r w:rsidR="00514C32">
        <w:rPr>
          <w:rFonts w:cstheme="minorHAnsi"/>
        </w:rPr>
        <w:t xml:space="preserve"> </w:t>
      </w:r>
      <w:r w:rsidR="00514C32" w:rsidRPr="002A019E">
        <w:rPr>
          <w:rFonts w:cstheme="minorHAnsi"/>
        </w:rPr>
        <w:t>to traditional emergency rooms</w:t>
      </w:r>
      <w:r w:rsidR="00514C32">
        <w:rPr>
          <w:rFonts w:cstheme="minorHAnsi"/>
        </w:rPr>
        <w:t>.</w:t>
      </w:r>
      <w:r w:rsidR="009B3F52">
        <w:rPr>
          <w:rFonts w:cstheme="minorHAnsi"/>
        </w:rPr>
        <w:t xml:space="preserve"> O</w:t>
      </w:r>
      <w:r w:rsidR="001307C7">
        <w:rPr>
          <w:rFonts w:cstheme="minorHAnsi"/>
          <w:color w:val="231F20"/>
        </w:rPr>
        <w:t>ffering more choices</w:t>
      </w:r>
      <w:r w:rsidR="009B3F52">
        <w:rPr>
          <w:rFonts w:cstheme="minorHAnsi"/>
          <w:color w:val="231F20"/>
        </w:rPr>
        <w:t xml:space="preserve"> in the healthcare market </w:t>
      </w:r>
      <w:r w:rsidR="005C6854">
        <w:rPr>
          <w:rFonts w:cstheme="minorHAnsi"/>
          <w:color w:val="231F20"/>
        </w:rPr>
        <w:t>are likely to</w:t>
      </w:r>
      <w:r w:rsidR="001307C7">
        <w:rPr>
          <w:rFonts w:cstheme="minorHAnsi"/>
          <w:color w:val="231F20"/>
        </w:rPr>
        <w:t xml:space="preserve"> increase t</w:t>
      </w:r>
      <w:r w:rsidR="00713ACA">
        <w:rPr>
          <w:rFonts w:cstheme="minorHAnsi"/>
          <w:color w:val="231F20"/>
        </w:rPr>
        <w:t xml:space="preserve">he </w:t>
      </w:r>
      <w:r w:rsidR="00C24770">
        <w:rPr>
          <w:rFonts w:cstheme="minorHAnsi"/>
          <w:color w:val="231F20"/>
        </w:rPr>
        <w:t>utilization and spending</w:t>
      </w:r>
      <w:r w:rsidR="008F5EA5">
        <w:rPr>
          <w:rStyle w:val="FootnoteReference"/>
          <w:rFonts w:cstheme="minorHAnsi"/>
          <w:color w:val="231F20"/>
        </w:rPr>
        <w:footnoteReference w:id="4"/>
      </w:r>
      <w:r w:rsidR="001307C7">
        <w:rPr>
          <w:rFonts w:cstheme="minorHAnsi"/>
          <w:color w:val="231F20"/>
        </w:rPr>
        <w:t>.</w:t>
      </w:r>
      <w:r w:rsidR="00514C32" w:rsidRPr="002A019E">
        <w:rPr>
          <w:rFonts w:cstheme="minorHAnsi"/>
        </w:rPr>
        <w:t xml:space="preserve"> </w:t>
      </w:r>
      <w:r w:rsidR="00514C32">
        <w:rPr>
          <w:rFonts w:cstheme="minorHAnsi"/>
        </w:rPr>
        <w:t>By locating in wealthy communities</w:t>
      </w:r>
      <w:r w:rsidR="00514C32">
        <w:rPr>
          <w:rStyle w:val="FootnoteReference"/>
          <w:rFonts w:cstheme="minorHAnsi"/>
        </w:rPr>
        <w:footnoteReference w:id="5"/>
      </w:r>
      <w:r w:rsidR="00C24770">
        <w:rPr>
          <w:rStyle w:val="FootnoteReference"/>
          <w:rFonts w:cstheme="minorHAnsi"/>
        </w:rPr>
        <w:footnoteReference w:id="6"/>
      </w:r>
      <w:r w:rsidR="00514C32">
        <w:rPr>
          <w:rFonts w:cstheme="minorHAnsi"/>
        </w:rPr>
        <w:t xml:space="preserve">, freestanding EDs </w:t>
      </w:r>
      <w:r w:rsidR="00514C32" w:rsidRPr="002A019E">
        <w:rPr>
          <w:rFonts w:cstheme="minorHAnsi"/>
        </w:rPr>
        <w:t>deliver</w:t>
      </w:r>
      <w:r w:rsidR="00713ACA">
        <w:rPr>
          <w:rFonts w:cstheme="minorHAnsi"/>
        </w:rPr>
        <w:t>ed emergency</w:t>
      </w:r>
      <w:r w:rsidR="00514C32" w:rsidRPr="002A019E">
        <w:rPr>
          <w:rFonts w:cstheme="minorHAnsi"/>
        </w:rPr>
        <w:t xml:space="preserve"> care </w:t>
      </w:r>
      <w:r w:rsidR="00514C32">
        <w:rPr>
          <w:rFonts w:cstheme="minorHAnsi"/>
        </w:rPr>
        <w:t>in a high</w:t>
      </w:r>
      <w:r w:rsidR="00514C32" w:rsidRPr="002A019E">
        <w:rPr>
          <w:rFonts w:cstheme="minorHAnsi"/>
        </w:rPr>
        <w:t xml:space="preserve"> cost </w:t>
      </w:r>
      <w:r w:rsidR="00C95FEB" w:rsidRPr="002A019E">
        <w:rPr>
          <w:rFonts w:cstheme="minorHAnsi"/>
        </w:rPr>
        <w:t>setting</w:t>
      </w:r>
      <w:r w:rsidR="006C6BB3">
        <w:rPr>
          <w:rFonts w:cstheme="minorHAnsi"/>
        </w:rPr>
        <w:t xml:space="preserve">, which </w:t>
      </w:r>
      <w:r w:rsidR="00713ACA">
        <w:rPr>
          <w:rFonts w:cstheme="minorHAnsi"/>
        </w:rPr>
        <w:t>was</w:t>
      </w:r>
      <w:r w:rsidR="006C6BB3">
        <w:rPr>
          <w:rFonts w:cstheme="minorHAnsi"/>
        </w:rPr>
        <w:t xml:space="preserve"> 10 times higher than urgent care centers</w:t>
      </w:r>
      <w:r w:rsidR="00713ACA">
        <w:rPr>
          <w:rFonts w:cstheme="minorHAnsi"/>
        </w:rPr>
        <w:t xml:space="preserve"> under the same diagnosis</w:t>
      </w:r>
      <w:r w:rsidR="00C24770">
        <w:rPr>
          <w:rStyle w:val="FootnoteReference"/>
          <w:rFonts w:cstheme="minorHAnsi"/>
        </w:rPr>
        <w:footnoteReference w:id="7"/>
      </w:r>
      <w:r w:rsidR="00514C32">
        <w:rPr>
          <w:rFonts w:cstheme="minorHAnsi"/>
        </w:rPr>
        <w:t>.</w:t>
      </w:r>
      <w:r w:rsidR="00514C32" w:rsidRPr="00E804A6">
        <w:rPr>
          <w:rFonts w:cstheme="minorHAnsi"/>
        </w:rPr>
        <w:t xml:space="preserve"> </w:t>
      </w:r>
      <w:r w:rsidR="008F5EA5">
        <w:rPr>
          <w:rFonts w:cstheme="minorHAnsi"/>
        </w:rPr>
        <w:t xml:space="preserve">Those bills </w:t>
      </w:r>
      <w:r w:rsidR="00C24770">
        <w:rPr>
          <w:rFonts w:cstheme="minorHAnsi"/>
        </w:rPr>
        <w:t>were</w:t>
      </w:r>
      <w:r w:rsidR="00713ACA" w:rsidRPr="002A019E">
        <w:rPr>
          <w:rFonts w:cstheme="minorHAnsi"/>
        </w:rPr>
        <w:t xml:space="preserve"> at </w:t>
      </w:r>
      <w:r w:rsidR="00713ACA">
        <w:rPr>
          <w:rFonts w:cstheme="minorHAnsi"/>
        </w:rPr>
        <w:t xml:space="preserve">similar </w:t>
      </w:r>
      <w:r w:rsidR="00713ACA" w:rsidRPr="002A019E">
        <w:rPr>
          <w:rFonts w:cstheme="minorHAnsi"/>
        </w:rPr>
        <w:t xml:space="preserve">rates </w:t>
      </w:r>
      <w:r w:rsidR="00713ACA">
        <w:rPr>
          <w:rFonts w:cstheme="minorHAnsi"/>
        </w:rPr>
        <w:t>to</w:t>
      </w:r>
      <w:r w:rsidR="00713ACA" w:rsidRPr="002A019E">
        <w:rPr>
          <w:rFonts w:cstheme="minorHAnsi"/>
        </w:rPr>
        <w:t xml:space="preserve"> full-service </w:t>
      </w:r>
      <w:r w:rsidR="00713ACA">
        <w:rPr>
          <w:rFonts w:cstheme="minorHAnsi"/>
        </w:rPr>
        <w:t>hospital EDs</w:t>
      </w:r>
      <w:r w:rsidR="00713ACA" w:rsidRPr="002A019E">
        <w:rPr>
          <w:rFonts w:cstheme="minorHAnsi"/>
        </w:rPr>
        <w:t xml:space="preserve"> charge, even though they often provide</w:t>
      </w:r>
      <w:r w:rsidR="00713ACA">
        <w:rPr>
          <w:rFonts w:cstheme="minorHAnsi"/>
        </w:rPr>
        <w:t>d</w:t>
      </w:r>
      <w:r w:rsidR="00713ACA" w:rsidRPr="002A019E">
        <w:rPr>
          <w:rFonts w:cstheme="minorHAnsi"/>
        </w:rPr>
        <w:t xml:space="preserve"> less resource‐intensive care</w:t>
      </w:r>
      <w:r w:rsidR="00713ACA">
        <w:rPr>
          <w:rFonts w:cstheme="minorHAnsi"/>
        </w:rPr>
        <w:t xml:space="preserve">. </w:t>
      </w:r>
      <w:r w:rsidR="00C24770">
        <w:rPr>
          <w:rFonts w:cstheme="minorHAnsi"/>
        </w:rPr>
        <w:t>Another</w:t>
      </w:r>
      <w:r w:rsidR="00881CFC">
        <w:rPr>
          <w:rFonts w:cstheme="minorHAnsi"/>
        </w:rPr>
        <w:t xml:space="preserve"> r</w:t>
      </w:r>
      <w:r w:rsidR="00581574">
        <w:rPr>
          <w:rFonts w:cstheme="minorHAnsi"/>
        </w:rPr>
        <w:t>esearch also suggested p</w:t>
      </w:r>
      <w:r w:rsidR="00A55D61">
        <w:rPr>
          <w:rFonts w:cstheme="minorHAnsi"/>
        </w:rPr>
        <w:t>atients in freestanding EDs ha</w:t>
      </w:r>
      <w:r w:rsidR="00581574">
        <w:rPr>
          <w:rFonts w:cstheme="minorHAnsi"/>
        </w:rPr>
        <w:t>d</w:t>
      </w:r>
      <w:r w:rsidR="00A55D61">
        <w:rPr>
          <w:rFonts w:cstheme="minorHAnsi"/>
        </w:rPr>
        <w:t xml:space="preserve"> fewer comorbidities, shorter length of stay and lower hospital admission rates</w:t>
      </w:r>
      <w:r w:rsidR="00A55D61">
        <w:rPr>
          <w:rStyle w:val="FootnoteReference"/>
          <w:rFonts w:cstheme="minorHAnsi"/>
        </w:rPr>
        <w:footnoteReference w:id="8"/>
      </w:r>
      <w:r w:rsidR="00A55D61">
        <w:rPr>
          <w:rFonts w:cstheme="minorHAnsi"/>
        </w:rPr>
        <w:t>. Therefore,</w:t>
      </w:r>
      <w:r w:rsidR="009B3F52">
        <w:rPr>
          <w:rFonts w:cstheme="minorHAnsi"/>
        </w:rPr>
        <w:t xml:space="preserve"> </w:t>
      </w:r>
      <w:r w:rsidR="00A55D61">
        <w:rPr>
          <w:rFonts w:cstheme="minorHAnsi"/>
        </w:rPr>
        <w:t xml:space="preserve">both </w:t>
      </w:r>
      <w:r w:rsidR="009B3F52">
        <w:rPr>
          <w:rFonts w:cstheme="minorHAnsi"/>
        </w:rPr>
        <w:t xml:space="preserve">the 2017 and 2018 </w:t>
      </w:r>
      <w:r w:rsidR="00881CFC">
        <w:rPr>
          <w:rFonts w:cstheme="minorHAnsi"/>
        </w:rPr>
        <w:t xml:space="preserve">MedPAC </w:t>
      </w:r>
      <w:r w:rsidR="009B3F52">
        <w:rPr>
          <w:rFonts w:cstheme="minorHAnsi"/>
        </w:rPr>
        <w:t>reports to the congress</w:t>
      </w:r>
      <w:r w:rsidR="009B3F52">
        <w:rPr>
          <w:rStyle w:val="FootnoteReference"/>
          <w:rFonts w:cstheme="minorHAnsi"/>
        </w:rPr>
        <w:footnoteReference w:id="9"/>
      </w:r>
      <w:r w:rsidR="009B3F52">
        <w:rPr>
          <w:rFonts w:cstheme="minorHAnsi"/>
        </w:rPr>
        <w:t xml:space="preserve"> suggest</w:t>
      </w:r>
      <w:r w:rsidR="00881CFC">
        <w:rPr>
          <w:rFonts w:cstheme="minorHAnsi"/>
        </w:rPr>
        <w:t>ed</w:t>
      </w:r>
      <w:r w:rsidR="009B3F52">
        <w:rPr>
          <w:rFonts w:cstheme="minorHAnsi"/>
        </w:rPr>
        <w:t xml:space="preserve"> </w:t>
      </w:r>
      <w:r w:rsidR="004E2B6D">
        <w:rPr>
          <w:rFonts w:cstheme="minorHAnsi"/>
        </w:rPr>
        <w:lastRenderedPageBreak/>
        <w:t>reducing</w:t>
      </w:r>
      <w:r w:rsidR="009B3F52">
        <w:rPr>
          <w:rFonts w:cstheme="minorHAnsi"/>
        </w:rPr>
        <w:t xml:space="preserve"> Medicare payment rates for those visits in satellite EDs in urban areas.</w:t>
      </w:r>
      <w:r w:rsidR="00C20A84">
        <w:rPr>
          <w:rFonts w:cstheme="minorHAnsi"/>
        </w:rPr>
        <w:t xml:space="preserve"> The revolution in the </w:t>
      </w:r>
      <w:r w:rsidR="00A55D61">
        <w:rPr>
          <w:rFonts w:cstheme="minorHAnsi"/>
        </w:rPr>
        <w:t>Medicare payment</w:t>
      </w:r>
      <w:r w:rsidR="00C20A84">
        <w:rPr>
          <w:rFonts w:cstheme="minorHAnsi"/>
        </w:rPr>
        <w:t xml:space="preserve"> </w:t>
      </w:r>
      <w:r w:rsidR="00881CFC">
        <w:rPr>
          <w:rFonts w:cstheme="minorHAnsi"/>
        </w:rPr>
        <w:t xml:space="preserve">might </w:t>
      </w:r>
      <w:r w:rsidR="00C20A84">
        <w:rPr>
          <w:rFonts w:cstheme="minorHAnsi"/>
        </w:rPr>
        <w:t>also trigger the change</w:t>
      </w:r>
      <w:r w:rsidR="00A55D61">
        <w:rPr>
          <w:rFonts w:cstheme="minorHAnsi"/>
        </w:rPr>
        <w:t>s</w:t>
      </w:r>
      <w:r w:rsidR="00C20A84">
        <w:rPr>
          <w:rFonts w:cstheme="minorHAnsi"/>
        </w:rPr>
        <w:t xml:space="preserve"> in private </w:t>
      </w:r>
      <w:r w:rsidR="00881CFC">
        <w:rPr>
          <w:rFonts w:cstheme="minorHAnsi"/>
        </w:rPr>
        <w:t>part</w:t>
      </w:r>
      <w:r w:rsidR="00C20A84">
        <w:rPr>
          <w:rFonts w:cstheme="minorHAnsi"/>
        </w:rPr>
        <w:t xml:space="preserve">. </w:t>
      </w:r>
      <w:r w:rsidR="00A55D61">
        <w:rPr>
          <w:rFonts w:cstheme="minorHAnsi"/>
        </w:rPr>
        <w:t>Blue Cross Blue Shield, one of the biggest insurers in Texas,</w:t>
      </w:r>
      <w:r w:rsidR="002750BF">
        <w:rPr>
          <w:rFonts w:cstheme="minorHAnsi"/>
        </w:rPr>
        <w:t xml:space="preserve"> even</w:t>
      </w:r>
      <w:r w:rsidR="00A55D61">
        <w:rPr>
          <w:rFonts w:cstheme="minorHAnsi"/>
        </w:rPr>
        <w:t xml:space="preserve"> </w:t>
      </w:r>
      <w:r w:rsidR="002750BF">
        <w:rPr>
          <w:rFonts w:cstheme="minorHAnsi"/>
        </w:rPr>
        <w:t>made controversial announcement</w:t>
      </w:r>
      <w:r w:rsidR="00A55D61">
        <w:rPr>
          <w:rFonts w:cstheme="minorHAnsi"/>
        </w:rPr>
        <w:t xml:space="preserve"> </w:t>
      </w:r>
      <w:r w:rsidR="006C6BB3">
        <w:rPr>
          <w:rFonts w:cstheme="minorHAnsi"/>
        </w:rPr>
        <w:t xml:space="preserve">that they </w:t>
      </w:r>
      <w:r w:rsidR="002750BF">
        <w:rPr>
          <w:rFonts w:cstheme="minorHAnsi"/>
        </w:rPr>
        <w:t>would</w:t>
      </w:r>
      <w:r w:rsidR="006C6BB3">
        <w:rPr>
          <w:rFonts w:cstheme="minorHAnsi"/>
        </w:rPr>
        <w:t xml:space="preserve"> not pay for non-emergency ER visits</w:t>
      </w:r>
      <w:r w:rsidR="00A55D61">
        <w:rPr>
          <w:rFonts w:cstheme="minorHAnsi"/>
        </w:rPr>
        <w:t xml:space="preserve"> in early 2018</w:t>
      </w:r>
      <w:r w:rsidR="00581574">
        <w:rPr>
          <w:rStyle w:val="FootnoteReference"/>
          <w:rFonts w:cstheme="minorHAnsi"/>
        </w:rPr>
        <w:footnoteReference w:id="10"/>
      </w:r>
      <w:r w:rsidR="00A55D61">
        <w:rPr>
          <w:rFonts w:cstheme="minorHAnsi"/>
        </w:rPr>
        <w:t xml:space="preserve">. </w:t>
      </w:r>
    </w:p>
    <w:p w14:paraId="744D94E0" w14:textId="68338043" w:rsidR="001E5E06" w:rsidRPr="001E5E06" w:rsidRDefault="006533C2" w:rsidP="001E5E06">
      <w:pPr>
        <w:jc w:val="both"/>
        <w:rPr>
          <w:rFonts w:cstheme="minorHAnsi"/>
        </w:rPr>
      </w:pPr>
      <w:r>
        <w:rPr>
          <w:rFonts w:cstheme="minorHAnsi"/>
          <w:color w:val="231F20"/>
        </w:rPr>
        <w:t xml:space="preserve">Though many physicians and policy makers declaimed that freestanding EDs would reduce patient volume at hospitals, </w:t>
      </w:r>
      <w:r w:rsidR="00F737F8" w:rsidRPr="006D6416">
        <w:rPr>
          <w:rFonts w:cstheme="minorHAnsi"/>
          <w:color w:val="231F20"/>
        </w:rPr>
        <w:t>the literature contain</w:t>
      </w:r>
      <w:r w:rsidR="00581574">
        <w:rPr>
          <w:rFonts w:cstheme="minorHAnsi"/>
          <w:color w:val="231F20"/>
        </w:rPr>
        <w:t>s</w:t>
      </w:r>
      <w:r w:rsidR="00F737F8" w:rsidRPr="006D6416">
        <w:rPr>
          <w:rFonts w:cstheme="minorHAnsi"/>
          <w:color w:val="231F20"/>
        </w:rPr>
        <w:t xml:space="preserve"> only limited </w:t>
      </w:r>
      <w:r w:rsidR="00F737F8">
        <w:rPr>
          <w:rFonts w:cstheme="minorHAnsi"/>
          <w:color w:val="231F20"/>
        </w:rPr>
        <w:t xml:space="preserve">quantitative </w:t>
      </w:r>
      <w:r w:rsidR="00F737F8" w:rsidRPr="006D6416">
        <w:rPr>
          <w:rFonts w:cstheme="minorHAnsi"/>
          <w:color w:val="231F20"/>
        </w:rPr>
        <w:t xml:space="preserve">studies </w:t>
      </w:r>
      <w:r w:rsidR="00F737F8">
        <w:rPr>
          <w:rFonts w:cstheme="minorHAnsi"/>
          <w:color w:val="231F20"/>
        </w:rPr>
        <w:t>towards</w:t>
      </w:r>
      <w:r w:rsidR="00F737F8" w:rsidRPr="006D6416">
        <w:rPr>
          <w:rFonts w:cstheme="minorHAnsi"/>
          <w:color w:val="231F20"/>
        </w:rPr>
        <w:t xml:space="preserve"> the impact of freestanding EDs on access to emergency care. </w:t>
      </w:r>
      <w:r w:rsidR="00C24770">
        <w:rPr>
          <w:rFonts w:cstheme="minorHAnsi"/>
          <w:color w:val="231F20"/>
        </w:rPr>
        <w:t>Different from California and many other states with restrict state regulations towards freestanding EDs</w:t>
      </w:r>
      <w:r w:rsidR="00594D30">
        <w:rPr>
          <w:rStyle w:val="FootnoteReference"/>
          <w:rFonts w:cstheme="minorHAnsi"/>
          <w:color w:val="231F20"/>
        </w:rPr>
        <w:footnoteReference w:id="11"/>
      </w:r>
      <w:r w:rsidR="00C24770">
        <w:rPr>
          <w:rFonts w:cstheme="minorHAnsi"/>
          <w:color w:val="231F20"/>
        </w:rPr>
        <w:t xml:space="preserve">, Texas has relative loose policy </w:t>
      </w:r>
      <w:r w:rsidR="00594D30">
        <w:rPr>
          <w:rFonts w:cstheme="minorHAnsi"/>
          <w:color w:val="231F20"/>
        </w:rPr>
        <w:t>and</w:t>
      </w:r>
      <w:r w:rsidR="00C24770">
        <w:rPr>
          <w:rFonts w:cstheme="minorHAnsi"/>
          <w:color w:val="231F20"/>
        </w:rPr>
        <w:t xml:space="preserve"> </w:t>
      </w:r>
      <w:r w:rsidR="00594D30">
        <w:rPr>
          <w:rFonts w:cstheme="minorHAnsi"/>
          <w:color w:val="231F20"/>
        </w:rPr>
        <w:t xml:space="preserve">a range of cities in different sizes. </w:t>
      </w:r>
      <w:r w:rsidR="00F737F8">
        <w:rPr>
          <w:rFonts w:cstheme="minorHAnsi"/>
        </w:rPr>
        <w:t xml:space="preserve">As the </w:t>
      </w:r>
      <w:r w:rsidR="00190ABF">
        <w:rPr>
          <w:rFonts w:cstheme="minorHAnsi"/>
        </w:rPr>
        <w:t>second</w:t>
      </w:r>
      <w:r w:rsidR="00F737F8">
        <w:rPr>
          <w:rFonts w:cstheme="minorHAnsi"/>
        </w:rPr>
        <w:t xml:space="preserve"> populous stat</w:t>
      </w:r>
      <w:r w:rsidR="00190ABF">
        <w:rPr>
          <w:rFonts w:cstheme="minorHAnsi"/>
        </w:rPr>
        <w:t>e</w:t>
      </w:r>
      <w:r w:rsidR="00881CFC">
        <w:rPr>
          <w:rFonts w:cstheme="minorHAnsi"/>
        </w:rPr>
        <w:t xml:space="preserve"> </w:t>
      </w:r>
      <w:r w:rsidR="00190ABF">
        <w:rPr>
          <w:rFonts w:cstheme="minorHAnsi"/>
        </w:rPr>
        <w:t xml:space="preserve">with </w:t>
      </w:r>
      <w:r w:rsidR="004E2B6D">
        <w:rPr>
          <w:rFonts w:cstheme="minorHAnsi"/>
        </w:rPr>
        <w:t>more than</w:t>
      </w:r>
      <w:r w:rsidR="00190ABF">
        <w:rPr>
          <w:rFonts w:cstheme="minorHAnsi"/>
        </w:rPr>
        <w:t xml:space="preserve"> 300 freestanding EDs </w:t>
      </w:r>
      <w:r w:rsidR="00594D30">
        <w:rPr>
          <w:rFonts w:cstheme="minorHAnsi"/>
        </w:rPr>
        <w:t>in the state</w:t>
      </w:r>
      <w:r w:rsidR="00190ABF">
        <w:rPr>
          <w:rFonts w:cstheme="minorHAnsi"/>
        </w:rPr>
        <w:t xml:space="preserve">, </w:t>
      </w:r>
      <w:r w:rsidR="00F737F8">
        <w:rPr>
          <w:rFonts w:cstheme="minorHAnsi"/>
        </w:rPr>
        <w:t xml:space="preserve">Texas </w:t>
      </w:r>
      <w:r w:rsidR="00581574">
        <w:rPr>
          <w:rFonts w:cstheme="minorHAnsi"/>
        </w:rPr>
        <w:t>would be</w:t>
      </w:r>
      <w:r w:rsidR="00F737F8">
        <w:rPr>
          <w:rFonts w:cstheme="minorHAnsi"/>
        </w:rPr>
        <w:t xml:space="preserve"> a good example to study</w:t>
      </w:r>
      <w:r w:rsidR="008B3C0A">
        <w:rPr>
          <w:rFonts w:cstheme="minorHAnsi"/>
        </w:rPr>
        <w:t xml:space="preserve"> the phenomenon of emergency market competition</w:t>
      </w:r>
      <w:r w:rsidR="00594D30">
        <w:rPr>
          <w:rFonts w:cstheme="minorHAnsi"/>
        </w:rPr>
        <w:t xml:space="preserve"> by introducing freestanding EDs</w:t>
      </w:r>
      <w:r w:rsidR="00581574">
        <w:rPr>
          <w:rFonts w:cstheme="minorHAnsi"/>
        </w:rPr>
        <w:t>.</w:t>
      </w:r>
    </w:p>
    <w:p w14:paraId="7D226007" w14:textId="5226515A" w:rsidR="006C6BB3" w:rsidRPr="00437DC6" w:rsidRDefault="006C6BB3" w:rsidP="006C6BB3">
      <w:pPr>
        <w:jc w:val="both"/>
        <w:rPr>
          <w:rFonts w:cstheme="minorHAnsi"/>
          <w:b/>
        </w:rPr>
      </w:pPr>
      <w:r w:rsidRPr="00437DC6">
        <w:rPr>
          <w:rFonts w:cstheme="minorHAnsi"/>
          <w:b/>
        </w:rPr>
        <w:t>Overall work</w:t>
      </w:r>
    </w:p>
    <w:p w14:paraId="74FE49FB" w14:textId="5670267E" w:rsidR="00DD5295" w:rsidRDefault="00662DC3" w:rsidP="00334F9C">
      <w:pPr>
        <w:jc w:val="both"/>
        <w:rPr>
          <w:rFonts w:cstheme="minorHAnsi"/>
          <w:color w:val="231F20"/>
        </w:rPr>
      </w:pPr>
      <w:r>
        <w:rPr>
          <w:rFonts w:cstheme="minorHAnsi"/>
          <w:color w:val="231F20"/>
        </w:rPr>
        <w:t>This work aims to argue whether</w:t>
      </w:r>
      <w:r w:rsidR="00DD5295">
        <w:rPr>
          <w:rFonts w:cstheme="minorHAnsi"/>
          <w:color w:val="231F20"/>
        </w:rPr>
        <w:t xml:space="preserve"> </w:t>
      </w:r>
      <w:r>
        <w:rPr>
          <w:rFonts w:cstheme="minorHAnsi"/>
          <w:color w:val="231F20"/>
        </w:rPr>
        <w:t xml:space="preserve">freestanding EDs in the emergency market help relieve </w:t>
      </w:r>
      <w:r w:rsidR="00581574">
        <w:rPr>
          <w:rFonts w:cstheme="minorHAnsi"/>
          <w:color w:val="231F20"/>
        </w:rPr>
        <w:t>burden</w:t>
      </w:r>
      <w:r>
        <w:rPr>
          <w:rFonts w:cstheme="minorHAnsi"/>
          <w:color w:val="231F20"/>
        </w:rPr>
        <w:t xml:space="preserve"> of hospital-based EDs.</w:t>
      </w:r>
      <w:r w:rsidR="006533C2">
        <w:rPr>
          <w:rFonts w:cstheme="minorHAnsi"/>
          <w:color w:val="231F20"/>
        </w:rPr>
        <w:t xml:space="preserve"> My hypothesis </w:t>
      </w:r>
      <w:r w:rsidR="009A6864">
        <w:rPr>
          <w:rFonts w:cstheme="minorHAnsi"/>
          <w:color w:val="231F20"/>
        </w:rPr>
        <w:t>i</w:t>
      </w:r>
      <w:r w:rsidR="006533C2">
        <w:rPr>
          <w:rFonts w:cstheme="minorHAnsi"/>
          <w:color w:val="231F20"/>
        </w:rPr>
        <w:t>s</w:t>
      </w:r>
      <w:r w:rsidR="00581574">
        <w:rPr>
          <w:rFonts w:cstheme="minorHAnsi"/>
          <w:color w:val="231F20"/>
        </w:rPr>
        <w:t xml:space="preserve"> the</w:t>
      </w:r>
      <w:r w:rsidR="006533C2">
        <w:rPr>
          <w:rFonts w:cstheme="minorHAnsi"/>
          <w:color w:val="231F20"/>
        </w:rPr>
        <w:t xml:space="preserve"> entry of freestanding EDs decrease</w:t>
      </w:r>
      <w:r w:rsidR="00581574">
        <w:rPr>
          <w:rFonts w:cstheme="minorHAnsi"/>
          <w:color w:val="231F20"/>
        </w:rPr>
        <w:t>d</w:t>
      </w:r>
      <w:r w:rsidR="006533C2">
        <w:rPr>
          <w:rFonts w:cstheme="minorHAnsi"/>
          <w:color w:val="231F20"/>
        </w:rPr>
        <w:t xml:space="preserve"> the ED visits, wait times</w:t>
      </w:r>
      <w:r w:rsidR="00581574">
        <w:rPr>
          <w:rFonts w:cstheme="minorHAnsi"/>
          <w:color w:val="231F20"/>
        </w:rPr>
        <w:t>, length of visit for discharged patients</w:t>
      </w:r>
      <w:r w:rsidR="006533C2">
        <w:rPr>
          <w:rFonts w:cstheme="minorHAnsi"/>
          <w:color w:val="231F20"/>
        </w:rPr>
        <w:t xml:space="preserve"> and drop-out rates in nearby hospital EDs.</w:t>
      </w:r>
      <w:r w:rsidR="00DD5295">
        <w:rPr>
          <w:rFonts w:cstheme="minorHAnsi"/>
          <w:color w:val="231F20"/>
        </w:rPr>
        <w:t xml:space="preserve"> </w:t>
      </w:r>
      <w:r w:rsidR="0066396F">
        <w:rPr>
          <w:rFonts w:cstheme="minorHAnsi"/>
          <w:color w:val="231F20"/>
        </w:rPr>
        <w:t xml:space="preserve">The entry </w:t>
      </w:r>
      <w:r w:rsidR="00881CFC">
        <w:rPr>
          <w:rFonts w:cstheme="minorHAnsi"/>
          <w:color w:val="231F20"/>
        </w:rPr>
        <w:t>was</w:t>
      </w:r>
      <w:r w:rsidR="0066396F">
        <w:rPr>
          <w:rFonts w:cstheme="minorHAnsi"/>
          <w:color w:val="231F20"/>
        </w:rPr>
        <w:t xml:space="preserve"> defined in two aspects, one </w:t>
      </w:r>
      <w:r w:rsidR="00881CFC">
        <w:rPr>
          <w:rFonts w:cstheme="minorHAnsi"/>
          <w:color w:val="231F20"/>
        </w:rPr>
        <w:t>was</w:t>
      </w:r>
      <w:r w:rsidR="00936678">
        <w:rPr>
          <w:rFonts w:cstheme="minorHAnsi"/>
          <w:color w:val="231F20"/>
        </w:rPr>
        <w:t xml:space="preserve"> </w:t>
      </w:r>
      <w:r w:rsidR="00581574">
        <w:rPr>
          <w:rFonts w:cstheme="minorHAnsi"/>
          <w:color w:val="231F20"/>
        </w:rPr>
        <w:t xml:space="preserve">the </w:t>
      </w:r>
      <w:r w:rsidR="006533C2">
        <w:rPr>
          <w:rFonts w:cstheme="minorHAnsi"/>
          <w:color w:val="231F20"/>
        </w:rPr>
        <w:t xml:space="preserve">number of </w:t>
      </w:r>
      <w:r w:rsidR="0066396F">
        <w:rPr>
          <w:rFonts w:cstheme="minorHAnsi"/>
          <w:color w:val="231F20"/>
        </w:rPr>
        <w:t xml:space="preserve">freestanding EDs </w:t>
      </w:r>
      <w:r w:rsidR="006533C2">
        <w:rPr>
          <w:rFonts w:cstheme="minorHAnsi"/>
          <w:color w:val="231F20"/>
        </w:rPr>
        <w:t>nearby</w:t>
      </w:r>
      <w:r w:rsidR="0066396F">
        <w:rPr>
          <w:rFonts w:cstheme="minorHAnsi"/>
          <w:color w:val="231F20"/>
        </w:rPr>
        <w:t>, and another</w:t>
      </w:r>
      <w:r w:rsidR="006533C2">
        <w:rPr>
          <w:rFonts w:cstheme="minorHAnsi"/>
          <w:color w:val="231F20"/>
        </w:rPr>
        <w:t xml:space="preserve"> one</w:t>
      </w:r>
      <w:r w:rsidR="0066396F">
        <w:rPr>
          <w:rFonts w:cstheme="minorHAnsi"/>
          <w:color w:val="231F20"/>
        </w:rPr>
        <w:t xml:space="preserve"> </w:t>
      </w:r>
      <w:r w:rsidR="00881CFC">
        <w:rPr>
          <w:rFonts w:cstheme="minorHAnsi"/>
          <w:color w:val="231F20"/>
        </w:rPr>
        <w:t>was</w:t>
      </w:r>
      <w:r w:rsidR="0066396F">
        <w:rPr>
          <w:rFonts w:cstheme="minorHAnsi"/>
          <w:color w:val="231F20"/>
        </w:rPr>
        <w:t xml:space="preserve"> whether the hospital built its own satellite EDs. </w:t>
      </w:r>
      <w:r w:rsidR="006C6BB3">
        <w:rPr>
          <w:rFonts w:cstheme="minorHAnsi"/>
          <w:color w:val="231F20"/>
        </w:rPr>
        <w:t xml:space="preserve">I </w:t>
      </w:r>
      <w:r w:rsidR="00DB0568">
        <w:rPr>
          <w:rFonts w:cstheme="minorHAnsi"/>
          <w:color w:val="231F20"/>
        </w:rPr>
        <w:t>examined</w:t>
      </w:r>
      <w:r w:rsidR="00DD5295">
        <w:rPr>
          <w:rFonts w:cstheme="minorHAnsi"/>
          <w:color w:val="231F20"/>
        </w:rPr>
        <w:t xml:space="preserve"> all hospitals in Texas and showed </w:t>
      </w:r>
      <w:r w:rsidR="006C6BB3" w:rsidRPr="006D6416">
        <w:rPr>
          <w:rFonts w:cstheme="minorHAnsi"/>
          <w:color w:val="231F20"/>
        </w:rPr>
        <w:t xml:space="preserve">the impact of </w:t>
      </w:r>
      <w:r>
        <w:rPr>
          <w:rFonts w:cstheme="minorHAnsi"/>
          <w:color w:val="231F20"/>
        </w:rPr>
        <w:t xml:space="preserve">new establishments of freestanding EDs </w:t>
      </w:r>
      <w:r w:rsidR="00DD5295">
        <w:rPr>
          <w:rFonts w:cstheme="minorHAnsi"/>
          <w:color w:val="231F20"/>
        </w:rPr>
        <w:t>on</w:t>
      </w:r>
      <w:r w:rsidR="00594D30">
        <w:rPr>
          <w:rFonts w:cstheme="minorHAnsi"/>
          <w:color w:val="231F20"/>
        </w:rPr>
        <w:t xml:space="preserve"> </w:t>
      </w:r>
      <w:r w:rsidR="006C6BB3" w:rsidRPr="006D6416">
        <w:rPr>
          <w:rFonts w:cstheme="minorHAnsi"/>
          <w:color w:val="231F20"/>
        </w:rPr>
        <w:t xml:space="preserve">hospital-based </w:t>
      </w:r>
      <w:r>
        <w:rPr>
          <w:rFonts w:cstheme="minorHAnsi"/>
          <w:color w:val="231F20"/>
        </w:rPr>
        <w:t>EDs</w:t>
      </w:r>
      <w:r w:rsidR="006C6BB3" w:rsidRPr="006D6416">
        <w:rPr>
          <w:rFonts w:cstheme="minorHAnsi"/>
          <w:color w:val="231F20"/>
        </w:rPr>
        <w:t xml:space="preserve">. </w:t>
      </w:r>
      <w:r>
        <w:rPr>
          <w:rFonts w:cstheme="minorHAnsi"/>
          <w:color w:val="231F20"/>
        </w:rPr>
        <w:t>For direct comparison of hospital performance before and after, I identified volume of visits,</w:t>
      </w:r>
      <w:r w:rsidRPr="006D6416">
        <w:rPr>
          <w:rFonts w:cstheme="minorHAnsi"/>
          <w:color w:val="231F20"/>
        </w:rPr>
        <w:t xml:space="preserve"> </w:t>
      </w:r>
      <w:r>
        <w:rPr>
          <w:rFonts w:cstheme="minorHAnsi"/>
          <w:color w:val="231F20"/>
        </w:rPr>
        <w:t>wait</w:t>
      </w:r>
      <w:r w:rsidRPr="006D6416">
        <w:rPr>
          <w:rFonts w:cstheme="minorHAnsi"/>
          <w:color w:val="231F20"/>
        </w:rPr>
        <w:t xml:space="preserve"> times,</w:t>
      </w:r>
      <w:r>
        <w:rPr>
          <w:rFonts w:cstheme="minorHAnsi"/>
          <w:color w:val="231F20"/>
        </w:rPr>
        <w:t xml:space="preserve"> </w:t>
      </w:r>
      <w:r w:rsidR="000C4516">
        <w:rPr>
          <w:rFonts w:cstheme="minorHAnsi"/>
          <w:color w:val="231F20"/>
        </w:rPr>
        <w:t>length of visit for</w:t>
      </w:r>
      <w:r w:rsidRPr="006D6416">
        <w:rPr>
          <w:rFonts w:cstheme="minorHAnsi"/>
          <w:color w:val="231F20"/>
        </w:rPr>
        <w:t xml:space="preserve"> discharge</w:t>
      </w:r>
      <w:r w:rsidR="000C4516">
        <w:rPr>
          <w:rFonts w:cstheme="minorHAnsi"/>
          <w:color w:val="231F20"/>
        </w:rPr>
        <w:t>d patients</w:t>
      </w:r>
      <w:r w:rsidRPr="006D6416">
        <w:rPr>
          <w:rFonts w:cstheme="minorHAnsi"/>
          <w:color w:val="231F20"/>
        </w:rPr>
        <w:t xml:space="preserve"> and drop-out rates</w:t>
      </w:r>
      <w:r>
        <w:rPr>
          <w:rFonts w:cstheme="minorHAnsi"/>
          <w:color w:val="231F20"/>
        </w:rPr>
        <w:t xml:space="preserve"> as the most important determinates </w:t>
      </w:r>
      <w:r>
        <w:rPr>
          <w:rFonts w:cstheme="minorHAnsi" w:hint="eastAsia"/>
          <w:color w:val="231F20"/>
        </w:rPr>
        <w:t>t</w:t>
      </w:r>
      <w:r>
        <w:rPr>
          <w:rFonts w:cstheme="minorHAnsi"/>
          <w:color w:val="231F20"/>
        </w:rPr>
        <w:t>o measure congestions in hospital-based EDs</w:t>
      </w:r>
      <w:r w:rsidR="00DD5295">
        <w:rPr>
          <w:rFonts w:cstheme="minorHAnsi"/>
          <w:color w:val="231F20"/>
        </w:rPr>
        <w:t xml:space="preserve"> during 2010 to </w:t>
      </w:r>
      <w:r w:rsidR="00B964F3">
        <w:rPr>
          <w:rFonts w:cstheme="minorHAnsi"/>
          <w:color w:val="231F20"/>
        </w:rPr>
        <w:t>2016</w:t>
      </w:r>
      <w:r>
        <w:rPr>
          <w:rFonts w:cstheme="minorHAnsi"/>
          <w:color w:val="231F20"/>
        </w:rPr>
        <w:t>.</w:t>
      </w:r>
      <w:r w:rsidR="00C843E8">
        <w:rPr>
          <w:rFonts w:cstheme="minorHAnsi"/>
          <w:color w:val="231F20"/>
        </w:rPr>
        <w:t xml:space="preserve"> </w:t>
      </w:r>
    </w:p>
    <w:p w14:paraId="7FCECB17" w14:textId="29D935EF" w:rsidR="00313E19" w:rsidRPr="00437DC6" w:rsidRDefault="00242621" w:rsidP="00313E19">
      <w:pPr>
        <w:jc w:val="both"/>
        <w:rPr>
          <w:rFonts w:cstheme="minorHAnsi"/>
          <w:b/>
        </w:rPr>
      </w:pPr>
      <w:r w:rsidRPr="00437DC6">
        <w:rPr>
          <w:rFonts w:cstheme="minorHAnsi"/>
          <w:b/>
          <w:color w:val="FF0000"/>
          <w:sz w:val="44"/>
          <w:szCs w:val="44"/>
        </w:rPr>
        <w:t xml:space="preserve">Methods: </w:t>
      </w:r>
      <w:r w:rsidR="00C60154" w:rsidRPr="00437DC6">
        <w:rPr>
          <w:rFonts w:cstheme="minorHAnsi"/>
          <w:b/>
          <w:color w:val="FF0000"/>
          <w:sz w:val="44"/>
          <w:szCs w:val="44"/>
        </w:rPr>
        <w:br/>
      </w:r>
      <w:r w:rsidR="00313E19" w:rsidRPr="00437DC6">
        <w:rPr>
          <w:rFonts w:cstheme="minorHAnsi"/>
          <w:b/>
        </w:rPr>
        <w:t>Study design, setting and population</w:t>
      </w:r>
    </w:p>
    <w:p w14:paraId="7F6FE1F2" w14:textId="7A9850A2" w:rsidR="00C843E8" w:rsidRDefault="00E82296" w:rsidP="00C843E8">
      <w:pPr>
        <w:jc w:val="both"/>
        <w:rPr>
          <w:rFonts w:cstheme="minorHAnsi"/>
        </w:rPr>
      </w:pPr>
      <w:r>
        <w:rPr>
          <w:rFonts w:cstheme="minorHAnsi"/>
        </w:rPr>
        <w:t xml:space="preserve">The goal of this work is to </w:t>
      </w:r>
      <w:r w:rsidRPr="006509F7">
        <w:rPr>
          <w:rFonts w:cstheme="minorHAnsi"/>
        </w:rPr>
        <w:t>investigate whether the entry</w:t>
      </w:r>
      <w:r>
        <w:rPr>
          <w:rFonts w:cstheme="minorHAnsi"/>
        </w:rPr>
        <w:t xml:space="preserve"> of</w:t>
      </w:r>
      <w:r w:rsidRPr="006509F7">
        <w:rPr>
          <w:rFonts w:cstheme="minorHAnsi"/>
        </w:rPr>
        <w:t xml:space="preserve"> freestanding EDs helped relieve </w:t>
      </w:r>
      <w:r w:rsidRPr="006D6416">
        <w:rPr>
          <w:rFonts w:cstheme="minorHAnsi"/>
          <w:color w:val="231F20"/>
        </w:rPr>
        <w:t>ED congestion</w:t>
      </w:r>
      <w:r>
        <w:rPr>
          <w:rFonts w:cstheme="minorHAnsi"/>
          <w:color w:val="231F20"/>
        </w:rPr>
        <w:t>s</w:t>
      </w:r>
      <w:r w:rsidRPr="006D6416">
        <w:rPr>
          <w:rFonts w:cstheme="minorHAnsi"/>
          <w:color w:val="231F20"/>
        </w:rPr>
        <w:t xml:space="preserve"> in nearby hospitals and improve</w:t>
      </w:r>
      <w:r>
        <w:rPr>
          <w:rFonts w:cstheme="minorHAnsi"/>
          <w:color w:val="231F20"/>
        </w:rPr>
        <w:t xml:space="preserve"> </w:t>
      </w:r>
      <w:r w:rsidRPr="006D6416">
        <w:rPr>
          <w:rFonts w:cstheme="minorHAnsi"/>
          <w:color w:val="231F20"/>
        </w:rPr>
        <w:t xml:space="preserve">hospital </w:t>
      </w:r>
      <w:r>
        <w:rPr>
          <w:rFonts w:cstheme="minorHAnsi"/>
          <w:color w:val="231F20"/>
        </w:rPr>
        <w:t>emergency</w:t>
      </w:r>
      <w:r w:rsidRPr="006D6416">
        <w:rPr>
          <w:rFonts w:cstheme="minorHAnsi"/>
          <w:color w:val="231F20"/>
        </w:rPr>
        <w:t xml:space="preserve"> service</w:t>
      </w:r>
      <w:r w:rsidR="00DD5295">
        <w:rPr>
          <w:rFonts w:cstheme="minorHAnsi"/>
          <w:color w:val="231F20"/>
        </w:rPr>
        <w:t xml:space="preserve"> </w:t>
      </w:r>
      <w:r w:rsidR="00DD5295" w:rsidRPr="006D6416">
        <w:rPr>
          <w:rFonts w:cstheme="minorHAnsi"/>
          <w:color w:val="231F20"/>
        </w:rPr>
        <w:t>efficiency</w:t>
      </w:r>
      <w:r w:rsidRPr="006D6416">
        <w:rPr>
          <w:rFonts w:cstheme="minorHAnsi"/>
          <w:color w:val="231F20"/>
        </w:rPr>
        <w:t>.</w:t>
      </w:r>
      <w:r>
        <w:rPr>
          <w:rFonts w:cstheme="minorHAnsi"/>
          <w:color w:val="231F20"/>
        </w:rPr>
        <w:t xml:space="preserve"> </w:t>
      </w:r>
      <w:r w:rsidR="00C843E8" w:rsidRPr="006E30FF">
        <w:rPr>
          <w:rFonts w:cstheme="minorHAnsi"/>
        </w:rPr>
        <w:t xml:space="preserve">This study </w:t>
      </w:r>
      <w:r w:rsidR="00C843E8">
        <w:rPr>
          <w:rFonts w:cstheme="minorHAnsi"/>
        </w:rPr>
        <w:t xml:space="preserve">was approved by the Institutional Review Board (IRB) at Rice University. </w:t>
      </w:r>
    </w:p>
    <w:p w14:paraId="0B6B643A" w14:textId="388A3AC2" w:rsidR="00384B62" w:rsidRPr="006D6416" w:rsidRDefault="00384B62" w:rsidP="00384B62">
      <w:pPr>
        <w:jc w:val="both"/>
        <w:rPr>
          <w:rFonts w:cstheme="minorHAnsi"/>
          <w:color w:val="231F20"/>
        </w:rPr>
      </w:pPr>
      <w:r>
        <w:rPr>
          <w:rFonts w:cstheme="minorHAnsi"/>
          <w:color w:val="231F20"/>
        </w:rPr>
        <w:t xml:space="preserve">There are two types of freestanding ED facilities: </w:t>
      </w:r>
      <w:r>
        <w:rPr>
          <w:rFonts w:cstheme="minorHAnsi"/>
        </w:rPr>
        <w:t xml:space="preserve">Independent </w:t>
      </w:r>
      <w:r>
        <w:rPr>
          <w:rFonts w:cstheme="minorHAnsi"/>
          <w:color w:val="231F20"/>
        </w:rPr>
        <w:t xml:space="preserve">freestanding </w:t>
      </w:r>
      <w:r>
        <w:rPr>
          <w:rFonts w:cstheme="minorHAnsi"/>
        </w:rPr>
        <w:t xml:space="preserve">EDs and </w:t>
      </w:r>
      <w:r>
        <w:rPr>
          <w:rFonts w:cstheme="minorHAnsi"/>
          <w:color w:val="231F20"/>
        </w:rPr>
        <w:t xml:space="preserve">hospital-affiliated satellite EDs. </w:t>
      </w:r>
      <w:r w:rsidRPr="006D6416">
        <w:rPr>
          <w:rFonts w:cstheme="minorHAnsi"/>
          <w:color w:val="231F20"/>
        </w:rPr>
        <w:t xml:space="preserve">Locations and entry/exit dates for independent freestanding EDs and hospital-based EDs were acquired online from the Texas Department of State Health Services for facilities. Locations for hospital satellite EDs were recorded by visiting the website for each hospital with </w:t>
      </w:r>
      <w:r w:rsidR="002D0060">
        <w:rPr>
          <w:rFonts w:cstheme="minorHAnsi"/>
          <w:color w:val="231F20"/>
        </w:rPr>
        <w:t>satellite</w:t>
      </w:r>
      <w:r w:rsidRPr="006D6416">
        <w:rPr>
          <w:rFonts w:cstheme="minorHAnsi"/>
          <w:color w:val="231F20"/>
        </w:rPr>
        <w:t xml:space="preserve"> ED</w:t>
      </w:r>
      <w:r w:rsidR="002D0060">
        <w:rPr>
          <w:rFonts w:cstheme="minorHAnsi"/>
          <w:color w:val="231F20"/>
        </w:rPr>
        <w:t>(s)</w:t>
      </w:r>
      <w:r w:rsidRPr="006D6416">
        <w:rPr>
          <w:rFonts w:cstheme="minorHAnsi"/>
          <w:color w:val="231F20"/>
        </w:rPr>
        <w:t xml:space="preserve"> and contacted by e-mail or phone to obtain </w:t>
      </w:r>
      <w:r w:rsidR="002D0060">
        <w:rPr>
          <w:rFonts w:cstheme="minorHAnsi"/>
          <w:color w:val="231F20"/>
        </w:rPr>
        <w:t xml:space="preserve">their </w:t>
      </w:r>
      <w:r w:rsidRPr="006D6416">
        <w:rPr>
          <w:rFonts w:cstheme="minorHAnsi"/>
          <w:color w:val="231F20"/>
        </w:rPr>
        <w:t xml:space="preserve">opening dates. This search process identified </w:t>
      </w:r>
      <w:r w:rsidR="002D0060">
        <w:rPr>
          <w:rFonts w:cstheme="minorHAnsi"/>
          <w:color w:val="231F20"/>
        </w:rPr>
        <w:t>325</w:t>
      </w:r>
      <w:r w:rsidRPr="006D6416">
        <w:rPr>
          <w:rFonts w:cstheme="minorHAnsi"/>
          <w:color w:val="231F20"/>
        </w:rPr>
        <w:t xml:space="preserve"> independent freestanding EDs and </w:t>
      </w:r>
      <w:r w:rsidRPr="002D0060">
        <w:rPr>
          <w:rFonts w:cstheme="minorHAnsi"/>
          <w:color w:val="231F20"/>
        </w:rPr>
        <w:t>121</w:t>
      </w:r>
      <w:r w:rsidRPr="006D6416">
        <w:rPr>
          <w:rFonts w:cstheme="minorHAnsi"/>
          <w:color w:val="231F20"/>
        </w:rPr>
        <w:t xml:space="preserve"> hospital satellite EDs </w:t>
      </w:r>
      <w:r w:rsidR="002D0060">
        <w:rPr>
          <w:rFonts w:cstheme="minorHAnsi"/>
          <w:color w:val="231F20"/>
        </w:rPr>
        <w:t>between 2010 and 2016</w:t>
      </w:r>
      <w:r w:rsidRPr="006D6416">
        <w:rPr>
          <w:rFonts w:cstheme="minorHAnsi"/>
          <w:color w:val="231F20"/>
        </w:rPr>
        <w:t>.</w:t>
      </w:r>
      <w:r>
        <w:rPr>
          <w:rFonts w:cstheme="minorHAnsi"/>
          <w:color w:val="231F20"/>
        </w:rPr>
        <w:t xml:space="preserve"> </w:t>
      </w:r>
    </w:p>
    <w:p w14:paraId="197DABC4" w14:textId="4EE01EF0" w:rsidR="008436A7" w:rsidRPr="00C843E8" w:rsidRDefault="00C60154" w:rsidP="00C60154">
      <w:pPr>
        <w:jc w:val="both"/>
        <w:rPr>
          <w:rFonts w:cstheme="minorHAnsi"/>
          <w:color w:val="231F20"/>
        </w:rPr>
      </w:pPr>
      <w:r w:rsidRPr="00C843E8">
        <w:rPr>
          <w:rFonts w:cstheme="minorHAnsi"/>
          <w:color w:val="231F20"/>
        </w:rPr>
        <w:t>Hospital-based ED annual visit volumes were obtained from the American Hospital Association’s Annual Survey</w:t>
      </w:r>
      <w:r w:rsidR="00C843E8">
        <w:rPr>
          <w:rFonts w:cstheme="minorHAnsi"/>
          <w:color w:val="231F20"/>
        </w:rPr>
        <w:t xml:space="preserve"> </w:t>
      </w:r>
      <w:r w:rsidR="00594D30">
        <w:rPr>
          <w:rFonts w:cstheme="minorHAnsi"/>
          <w:color w:val="231F20"/>
        </w:rPr>
        <w:t xml:space="preserve">from </w:t>
      </w:r>
      <w:r w:rsidR="00C843E8">
        <w:rPr>
          <w:rFonts w:cstheme="minorHAnsi"/>
          <w:color w:val="231F20"/>
        </w:rPr>
        <w:t>2010 to 201</w:t>
      </w:r>
      <w:r w:rsidR="00B964F3">
        <w:rPr>
          <w:rFonts w:cstheme="minorHAnsi"/>
          <w:color w:val="231F20"/>
        </w:rPr>
        <w:t>6</w:t>
      </w:r>
      <w:r w:rsidRPr="00C843E8">
        <w:rPr>
          <w:rFonts w:cstheme="minorHAnsi"/>
          <w:color w:val="231F20"/>
        </w:rPr>
        <w:t xml:space="preserve">. </w:t>
      </w:r>
      <w:r w:rsidR="00384B62">
        <w:rPr>
          <w:rFonts w:cstheme="minorHAnsi"/>
          <w:color w:val="231F20"/>
        </w:rPr>
        <w:t>For hospitals owned satellite EDs, annual visits also include</w:t>
      </w:r>
      <w:r w:rsidR="00594D30">
        <w:rPr>
          <w:rFonts w:cstheme="minorHAnsi"/>
          <w:color w:val="231F20"/>
        </w:rPr>
        <w:t>d</w:t>
      </w:r>
      <w:r w:rsidR="00384B62">
        <w:rPr>
          <w:rFonts w:cstheme="minorHAnsi"/>
          <w:color w:val="231F20"/>
        </w:rPr>
        <w:t xml:space="preserve"> visits to affiliated satellite EDs. </w:t>
      </w:r>
      <w:r w:rsidR="002C22D1">
        <w:rPr>
          <w:rFonts w:cstheme="minorHAnsi"/>
          <w:color w:val="231F20"/>
        </w:rPr>
        <w:t xml:space="preserve">I </w:t>
      </w:r>
      <w:r w:rsidR="002C22D1" w:rsidRPr="002D0060">
        <w:rPr>
          <w:rFonts w:cstheme="minorHAnsi"/>
          <w:color w:val="231F20"/>
        </w:rPr>
        <w:t>excluded military</w:t>
      </w:r>
      <w:r w:rsidR="00657F39" w:rsidRPr="002D0060">
        <w:rPr>
          <w:rFonts w:cstheme="minorHAnsi"/>
          <w:color w:val="231F20"/>
        </w:rPr>
        <w:t>/behavioral</w:t>
      </w:r>
      <w:r w:rsidR="002C22D1">
        <w:rPr>
          <w:rFonts w:cstheme="minorHAnsi"/>
          <w:color w:val="231F20"/>
        </w:rPr>
        <w:t xml:space="preserve"> hospitals</w:t>
      </w:r>
      <w:r w:rsidR="002D0060">
        <w:rPr>
          <w:rFonts w:cstheme="minorHAnsi"/>
          <w:color w:val="231F20"/>
        </w:rPr>
        <w:t xml:space="preserve"> in the sample</w:t>
      </w:r>
      <w:r w:rsidR="002C22D1">
        <w:rPr>
          <w:rFonts w:cstheme="minorHAnsi"/>
          <w:color w:val="231F20"/>
        </w:rPr>
        <w:t xml:space="preserve">. </w:t>
      </w:r>
      <w:r w:rsidR="00657F39">
        <w:rPr>
          <w:rFonts w:cstheme="minorHAnsi"/>
          <w:color w:val="231F20"/>
        </w:rPr>
        <w:t xml:space="preserve">A total of </w:t>
      </w:r>
      <w:r w:rsidRPr="00C843E8">
        <w:rPr>
          <w:rFonts w:cstheme="minorHAnsi"/>
          <w:color w:val="231F20"/>
        </w:rPr>
        <w:t>37</w:t>
      </w:r>
      <w:r w:rsidR="00B964F3">
        <w:rPr>
          <w:rFonts w:cstheme="minorHAnsi"/>
          <w:color w:val="231F20"/>
        </w:rPr>
        <w:t>0</w:t>
      </w:r>
      <w:r w:rsidRPr="00C843E8">
        <w:rPr>
          <w:rFonts w:cstheme="minorHAnsi"/>
          <w:color w:val="231F20"/>
        </w:rPr>
        <w:t xml:space="preserve"> hospital</w:t>
      </w:r>
      <w:r w:rsidR="001D2A25">
        <w:rPr>
          <w:rFonts w:cstheme="minorHAnsi"/>
          <w:color w:val="231F20"/>
        </w:rPr>
        <w:t>s</w:t>
      </w:r>
      <w:r w:rsidR="00B964F3">
        <w:rPr>
          <w:rFonts w:cstheme="minorHAnsi"/>
          <w:color w:val="231F20"/>
        </w:rPr>
        <w:t xml:space="preserve"> remain</w:t>
      </w:r>
      <w:r w:rsidR="00295FBF">
        <w:rPr>
          <w:rFonts w:cstheme="minorHAnsi"/>
          <w:color w:val="231F20"/>
        </w:rPr>
        <w:t>ed</w:t>
      </w:r>
      <w:r w:rsidRPr="00C843E8">
        <w:rPr>
          <w:rFonts w:cstheme="minorHAnsi"/>
          <w:color w:val="231F20"/>
        </w:rPr>
        <w:t xml:space="preserve"> </w:t>
      </w:r>
      <w:r w:rsidR="00B964F3">
        <w:rPr>
          <w:rFonts w:cstheme="minorHAnsi"/>
          <w:color w:val="231F20"/>
        </w:rPr>
        <w:t>open</w:t>
      </w:r>
      <w:r w:rsidR="0066735D">
        <w:rPr>
          <w:rFonts w:cstheme="minorHAnsi"/>
          <w:color w:val="231F20"/>
        </w:rPr>
        <w:t xml:space="preserve"> </w:t>
      </w:r>
      <w:r w:rsidR="00B964F3">
        <w:rPr>
          <w:rFonts w:cstheme="minorHAnsi"/>
          <w:color w:val="231F20"/>
        </w:rPr>
        <w:t>during</w:t>
      </w:r>
      <w:r w:rsidR="001D2A25">
        <w:rPr>
          <w:rFonts w:cstheme="minorHAnsi"/>
          <w:color w:val="231F20"/>
        </w:rPr>
        <w:t xml:space="preserve"> my </w:t>
      </w:r>
      <w:r w:rsidR="0066735D">
        <w:rPr>
          <w:rFonts w:cstheme="minorHAnsi"/>
          <w:color w:val="231F20"/>
        </w:rPr>
        <w:t>target period</w:t>
      </w:r>
      <w:r w:rsidRPr="00C843E8">
        <w:rPr>
          <w:rFonts w:cstheme="minorHAnsi"/>
          <w:color w:val="231F20"/>
        </w:rPr>
        <w:t>.</w:t>
      </w:r>
      <w:r w:rsidR="008436A7" w:rsidRPr="00C843E8">
        <w:rPr>
          <w:rFonts w:cstheme="minorHAnsi"/>
          <w:color w:val="231F20"/>
        </w:rPr>
        <w:t xml:space="preserve"> </w:t>
      </w:r>
    </w:p>
    <w:p w14:paraId="0AB78355" w14:textId="271D554A" w:rsidR="00C60154" w:rsidRPr="006D6416" w:rsidRDefault="00C60154" w:rsidP="00C60154">
      <w:pPr>
        <w:jc w:val="both"/>
        <w:rPr>
          <w:rFonts w:cstheme="minorHAnsi"/>
          <w:color w:val="231F20"/>
        </w:rPr>
      </w:pPr>
      <w:r w:rsidRPr="006D6416">
        <w:rPr>
          <w:rFonts w:cstheme="minorHAnsi"/>
          <w:color w:val="231F20"/>
        </w:rPr>
        <w:t>Hospital ED</w:t>
      </w:r>
      <w:r w:rsidR="006F1616">
        <w:rPr>
          <w:rFonts w:cstheme="minorHAnsi"/>
          <w:color w:val="231F20"/>
        </w:rPr>
        <w:t xml:space="preserve"> efficiencies </w:t>
      </w:r>
      <w:r w:rsidR="002D0060">
        <w:rPr>
          <w:rFonts w:cstheme="minorHAnsi"/>
          <w:color w:val="231F20"/>
        </w:rPr>
        <w:t>were</w:t>
      </w:r>
      <w:r w:rsidR="006F1616">
        <w:rPr>
          <w:rFonts w:cstheme="minorHAnsi"/>
          <w:color w:val="231F20"/>
        </w:rPr>
        <w:t xml:space="preserve"> defined as</w:t>
      </w:r>
      <w:r w:rsidRPr="006D6416">
        <w:rPr>
          <w:rFonts w:cstheme="minorHAnsi"/>
          <w:color w:val="231F20"/>
        </w:rPr>
        <w:t xml:space="preserve"> </w:t>
      </w:r>
      <w:r w:rsidR="006F1616">
        <w:rPr>
          <w:rFonts w:cstheme="minorHAnsi"/>
          <w:color w:val="231F20"/>
        </w:rPr>
        <w:t xml:space="preserve">emergency room </w:t>
      </w:r>
      <w:r w:rsidRPr="006D6416">
        <w:rPr>
          <w:rFonts w:cstheme="minorHAnsi"/>
          <w:color w:val="231F20"/>
        </w:rPr>
        <w:t xml:space="preserve">wait time, </w:t>
      </w:r>
      <w:r w:rsidR="000C4516">
        <w:rPr>
          <w:rFonts w:cstheme="minorHAnsi"/>
          <w:color w:val="231F20"/>
        </w:rPr>
        <w:t>length of visit for</w:t>
      </w:r>
      <w:r w:rsidR="000C4516" w:rsidRPr="006D6416">
        <w:rPr>
          <w:rFonts w:cstheme="minorHAnsi"/>
          <w:color w:val="231F20"/>
        </w:rPr>
        <w:t xml:space="preserve"> discharge</w:t>
      </w:r>
      <w:r w:rsidR="000C4516">
        <w:rPr>
          <w:rFonts w:cstheme="minorHAnsi"/>
          <w:color w:val="231F20"/>
        </w:rPr>
        <w:t>d patients</w:t>
      </w:r>
      <w:r w:rsidR="000C4516" w:rsidRPr="006D6416">
        <w:rPr>
          <w:rFonts w:cstheme="minorHAnsi"/>
          <w:color w:val="231F20"/>
        </w:rPr>
        <w:t xml:space="preserve"> </w:t>
      </w:r>
      <w:r w:rsidRPr="006D6416">
        <w:rPr>
          <w:rFonts w:cstheme="minorHAnsi"/>
          <w:color w:val="231F20"/>
        </w:rPr>
        <w:t>and drop-out rate</w:t>
      </w:r>
      <w:r w:rsidR="00384B62">
        <w:rPr>
          <w:rFonts w:cstheme="minorHAnsi"/>
          <w:color w:val="231F20"/>
        </w:rPr>
        <w:t xml:space="preserve"> in main hospital-based ED</w:t>
      </w:r>
      <w:r w:rsidR="006F1616">
        <w:rPr>
          <w:rFonts w:cstheme="minorHAnsi"/>
          <w:color w:val="231F20"/>
        </w:rPr>
        <w:t xml:space="preserve">. The measurements </w:t>
      </w:r>
      <w:r w:rsidRPr="006D6416">
        <w:rPr>
          <w:rFonts w:cstheme="minorHAnsi"/>
          <w:color w:val="231F20"/>
        </w:rPr>
        <w:t xml:space="preserve">were obtained from the Centers for Medicare and Medicaid Service (CMS) </w:t>
      </w:r>
      <w:r>
        <w:rPr>
          <w:rFonts w:cstheme="minorHAnsi"/>
          <w:color w:val="231F20"/>
        </w:rPr>
        <w:t>“</w:t>
      </w:r>
      <w:r w:rsidRPr="006D6416">
        <w:rPr>
          <w:rFonts w:cstheme="minorHAnsi"/>
          <w:color w:val="231F20"/>
        </w:rPr>
        <w:t>Hospital Compare Timely and Effective Care Survey</w:t>
      </w:r>
      <w:r>
        <w:rPr>
          <w:rFonts w:cstheme="minorHAnsi"/>
          <w:color w:val="231F20"/>
        </w:rPr>
        <w:t>”</w:t>
      </w:r>
      <w:r w:rsidR="006F1616">
        <w:rPr>
          <w:rFonts w:cstheme="minorHAnsi"/>
          <w:color w:val="231F20"/>
        </w:rPr>
        <w:t xml:space="preserve"> </w:t>
      </w:r>
      <w:r w:rsidR="006F1616" w:rsidRPr="006D6416">
        <w:rPr>
          <w:rFonts w:cstheme="minorHAnsi"/>
          <w:color w:val="231F20"/>
        </w:rPr>
        <w:t xml:space="preserve">from 2012 (the earliest year </w:t>
      </w:r>
      <w:r w:rsidR="006F1616" w:rsidRPr="006D6416">
        <w:rPr>
          <w:rFonts w:cstheme="minorHAnsi"/>
          <w:color w:val="231F20"/>
        </w:rPr>
        <w:lastRenderedPageBreak/>
        <w:t>available) to 201</w:t>
      </w:r>
      <w:r w:rsidR="00B964F3">
        <w:rPr>
          <w:rFonts w:cstheme="minorHAnsi"/>
          <w:color w:val="231F20"/>
        </w:rPr>
        <w:t>6</w:t>
      </w:r>
      <w:r w:rsidRPr="006D6416">
        <w:rPr>
          <w:rFonts w:cstheme="minorHAnsi"/>
          <w:color w:val="231F20"/>
        </w:rPr>
        <w:t xml:space="preserve">. The </w:t>
      </w:r>
      <w:r w:rsidR="00545F1E">
        <w:rPr>
          <w:rFonts w:cstheme="minorHAnsi"/>
          <w:b/>
          <w:color w:val="231F20"/>
        </w:rPr>
        <w:t>W</w:t>
      </w:r>
      <w:r w:rsidRPr="006D6416">
        <w:rPr>
          <w:rFonts w:cstheme="minorHAnsi"/>
          <w:b/>
          <w:color w:val="231F20"/>
        </w:rPr>
        <w:t xml:space="preserve">ait </w:t>
      </w:r>
      <w:r w:rsidR="00545F1E">
        <w:rPr>
          <w:rFonts w:cstheme="minorHAnsi"/>
          <w:b/>
          <w:color w:val="231F20"/>
        </w:rPr>
        <w:t>T</w:t>
      </w:r>
      <w:r w:rsidRPr="006D6416">
        <w:rPr>
          <w:rFonts w:cstheme="minorHAnsi"/>
          <w:b/>
          <w:color w:val="231F20"/>
        </w:rPr>
        <w:t>ime</w:t>
      </w:r>
      <w:r w:rsidRPr="006D6416">
        <w:rPr>
          <w:rFonts w:cstheme="minorHAnsi"/>
          <w:color w:val="231F20"/>
        </w:rPr>
        <w:t xml:space="preserve"> </w:t>
      </w:r>
      <w:r w:rsidR="002D0060">
        <w:rPr>
          <w:rFonts w:cstheme="minorHAnsi"/>
          <w:color w:val="231F20"/>
        </w:rPr>
        <w:t>was</w:t>
      </w:r>
      <w:r w:rsidRPr="006D6416">
        <w:rPr>
          <w:rFonts w:cstheme="minorHAnsi"/>
          <w:color w:val="231F20"/>
        </w:rPr>
        <w:t xml:space="preserve"> the median time from door to diagnostic evaluation by a qualified medical professional. </w:t>
      </w:r>
      <w:r w:rsidR="000C4516">
        <w:rPr>
          <w:rFonts w:cstheme="minorHAnsi"/>
          <w:color w:val="231F20"/>
        </w:rPr>
        <w:t>Length of visit for</w:t>
      </w:r>
      <w:r w:rsidR="000C4516" w:rsidRPr="006D6416">
        <w:rPr>
          <w:rFonts w:cstheme="minorHAnsi"/>
          <w:color w:val="231F20"/>
        </w:rPr>
        <w:t xml:space="preserve"> discharge</w:t>
      </w:r>
      <w:r w:rsidR="000C4516">
        <w:rPr>
          <w:rFonts w:cstheme="minorHAnsi"/>
          <w:color w:val="231F20"/>
        </w:rPr>
        <w:t xml:space="preserve">d </w:t>
      </w:r>
      <w:r w:rsidR="000C4516" w:rsidRPr="000C4516">
        <w:rPr>
          <w:rFonts w:cstheme="minorHAnsi"/>
          <w:color w:val="231F20"/>
        </w:rPr>
        <w:t xml:space="preserve">patients (short for </w:t>
      </w:r>
      <w:r w:rsidR="000C4516">
        <w:rPr>
          <w:rFonts w:cstheme="minorHAnsi"/>
          <w:color w:val="231F20"/>
        </w:rPr>
        <w:t>“</w:t>
      </w:r>
      <w:r w:rsidR="000C4516" w:rsidRPr="000C4516">
        <w:rPr>
          <w:rFonts w:cstheme="minorHAnsi"/>
          <w:b/>
          <w:color w:val="231F20"/>
        </w:rPr>
        <w:t>D</w:t>
      </w:r>
      <w:r w:rsidRPr="000C4516">
        <w:rPr>
          <w:rFonts w:cstheme="minorHAnsi"/>
          <w:b/>
          <w:color w:val="231F20"/>
        </w:rPr>
        <w:t>ischarge</w:t>
      </w:r>
      <w:r w:rsidR="00A02C9C">
        <w:rPr>
          <w:rFonts w:cstheme="minorHAnsi"/>
          <w:b/>
          <w:color w:val="231F20"/>
        </w:rPr>
        <w:t xml:space="preserve"> Time</w:t>
      </w:r>
      <w:r w:rsidR="000C4516">
        <w:rPr>
          <w:rFonts w:cstheme="minorHAnsi"/>
          <w:color w:val="231F20"/>
        </w:rPr>
        <w:t>”</w:t>
      </w:r>
      <w:r w:rsidR="000C4516" w:rsidRPr="000C4516">
        <w:rPr>
          <w:rFonts w:cstheme="minorHAnsi"/>
          <w:color w:val="231F20"/>
        </w:rPr>
        <w:t xml:space="preserve"> thereafter)</w:t>
      </w:r>
      <w:r w:rsidRPr="006D6416">
        <w:rPr>
          <w:rFonts w:cstheme="minorHAnsi"/>
          <w:color w:val="231F20"/>
        </w:rPr>
        <w:t xml:space="preserve"> measure</w:t>
      </w:r>
      <w:r w:rsidR="002D0060">
        <w:rPr>
          <w:rFonts w:cstheme="minorHAnsi"/>
          <w:color w:val="231F20"/>
        </w:rPr>
        <w:t>d</w:t>
      </w:r>
      <w:r w:rsidRPr="006D6416">
        <w:rPr>
          <w:rFonts w:cstheme="minorHAnsi"/>
          <w:color w:val="231F20"/>
        </w:rPr>
        <w:t xml:space="preserve"> the time from ED arrival to ED departure for discharged patients. ED annual </w:t>
      </w:r>
      <w:r w:rsidR="00545F1E">
        <w:rPr>
          <w:rFonts w:cstheme="minorHAnsi"/>
          <w:b/>
          <w:color w:val="231F20"/>
        </w:rPr>
        <w:t>D</w:t>
      </w:r>
      <w:r w:rsidRPr="006D6416">
        <w:rPr>
          <w:rFonts w:cstheme="minorHAnsi"/>
          <w:b/>
          <w:color w:val="231F20"/>
        </w:rPr>
        <w:t xml:space="preserve">rop-out </w:t>
      </w:r>
      <w:r w:rsidR="00545F1E">
        <w:rPr>
          <w:rFonts w:cstheme="minorHAnsi"/>
          <w:b/>
          <w:color w:val="231F20"/>
        </w:rPr>
        <w:t>R</w:t>
      </w:r>
      <w:r w:rsidRPr="006D6416">
        <w:rPr>
          <w:rFonts w:cstheme="minorHAnsi"/>
          <w:b/>
          <w:color w:val="231F20"/>
        </w:rPr>
        <w:t>ate</w:t>
      </w:r>
      <w:r w:rsidRPr="006D6416">
        <w:rPr>
          <w:rFonts w:cstheme="minorHAnsi"/>
          <w:color w:val="231F20"/>
        </w:rPr>
        <w:t xml:space="preserve"> </w:t>
      </w:r>
      <w:r w:rsidR="002D0060">
        <w:rPr>
          <w:rFonts w:cstheme="minorHAnsi"/>
          <w:color w:val="231F20"/>
        </w:rPr>
        <w:t>was</w:t>
      </w:r>
      <w:r w:rsidRPr="006D6416">
        <w:rPr>
          <w:rFonts w:cstheme="minorHAnsi"/>
          <w:color w:val="231F20"/>
        </w:rPr>
        <w:t xml:space="preserve"> percent</w:t>
      </w:r>
      <w:r w:rsidR="00F55CDF">
        <w:rPr>
          <w:rFonts w:cstheme="minorHAnsi"/>
          <w:color w:val="231F20"/>
        </w:rPr>
        <w:t>age</w:t>
      </w:r>
      <w:r w:rsidRPr="006D6416">
        <w:rPr>
          <w:rFonts w:cstheme="minorHAnsi"/>
          <w:color w:val="231F20"/>
        </w:rPr>
        <w:t xml:space="preserve"> of patients left without being seen. </w:t>
      </w:r>
    </w:p>
    <w:p w14:paraId="0BC7DF73" w14:textId="1359F821" w:rsidR="00A6110C" w:rsidRPr="006D6416" w:rsidRDefault="00C60154" w:rsidP="00C60154">
      <w:pPr>
        <w:jc w:val="both"/>
        <w:rPr>
          <w:rFonts w:cstheme="minorHAnsi"/>
          <w:color w:val="231F20"/>
        </w:rPr>
      </w:pPr>
      <w:r>
        <w:rPr>
          <w:rFonts w:cstheme="minorHAnsi"/>
          <w:color w:val="231F20"/>
        </w:rPr>
        <w:t>Public Use Microdata Area (</w:t>
      </w:r>
      <w:r w:rsidRPr="006D6416">
        <w:rPr>
          <w:rFonts w:cstheme="minorHAnsi"/>
          <w:color w:val="231F20"/>
        </w:rPr>
        <w:t>PUMA</w:t>
      </w:r>
      <w:r>
        <w:rPr>
          <w:rFonts w:cstheme="minorHAnsi"/>
          <w:color w:val="231F20"/>
        </w:rPr>
        <w:t>)</w:t>
      </w:r>
      <w:r w:rsidRPr="006D6416">
        <w:rPr>
          <w:rFonts w:cstheme="minorHAnsi"/>
          <w:color w:val="231F20"/>
        </w:rPr>
        <w:t xml:space="preserve">-level data on population; average household income; percentages of residents with Medicaid, Medicare, private, or any </w:t>
      </w:r>
      <w:r>
        <w:rPr>
          <w:rFonts w:cstheme="minorHAnsi"/>
          <w:color w:val="231F20"/>
        </w:rPr>
        <w:t xml:space="preserve">type of </w:t>
      </w:r>
      <w:r w:rsidRPr="006D6416">
        <w:rPr>
          <w:rFonts w:cstheme="minorHAnsi"/>
          <w:color w:val="231F20"/>
        </w:rPr>
        <w:t>insurance; percentage of residents who were Hispanic or Black</w:t>
      </w:r>
      <w:r w:rsidR="006F1CD0">
        <w:rPr>
          <w:rFonts w:cstheme="minorHAnsi"/>
          <w:color w:val="231F20"/>
        </w:rPr>
        <w:t xml:space="preserve">; and percentage of residents with age above 65 </w:t>
      </w:r>
      <w:r w:rsidRPr="006D6416">
        <w:rPr>
          <w:rFonts w:cstheme="minorHAnsi"/>
          <w:color w:val="231F20"/>
        </w:rPr>
        <w:t>were obtained from the 2010 to 201</w:t>
      </w:r>
      <w:r w:rsidR="00B964F3">
        <w:rPr>
          <w:rFonts w:cstheme="minorHAnsi"/>
          <w:color w:val="231F20"/>
        </w:rPr>
        <w:t>6</w:t>
      </w:r>
      <w:r w:rsidRPr="006D6416">
        <w:rPr>
          <w:rFonts w:cstheme="minorHAnsi"/>
          <w:color w:val="231F20"/>
        </w:rPr>
        <w:t xml:space="preserve"> American Community Surveys. </w:t>
      </w:r>
    </w:p>
    <w:p w14:paraId="40143CFF" w14:textId="48E76BB1" w:rsidR="00B01BEE" w:rsidRPr="00437DC6" w:rsidRDefault="00B01BEE" w:rsidP="00B01BEE">
      <w:pPr>
        <w:jc w:val="both"/>
        <w:rPr>
          <w:rFonts w:cstheme="minorHAnsi"/>
          <w:b/>
        </w:rPr>
      </w:pPr>
      <w:r w:rsidRPr="00437DC6">
        <w:rPr>
          <w:rFonts w:cstheme="minorHAnsi"/>
          <w:b/>
        </w:rPr>
        <w:t>Data Analysis</w:t>
      </w:r>
    </w:p>
    <w:p w14:paraId="4333A9B2" w14:textId="1E2FABF8" w:rsidR="00313E19" w:rsidRPr="00545F1E" w:rsidRDefault="008436A7" w:rsidP="00313E19">
      <w:pPr>
        <w:jc w:val="both"/>
        <w:rPr>
          <w:rFonts w:cstheme="minorHAnsi"/>
          <w:color w:val="231F20"/>
        </w:rPr>
      </w:pPr>
      <w:r>
        <w:rPr>
          <w:rFonts w:cstheme="minorHAnsi"/>
        </w:rPr>
        <w:t>I</w:t>
      </w:r>
      <w:r w:rsidRPr="006509F7">
        <w:rPr>
          <w:rFonts w:cstheme="minorHAnsi"/>
        </w:rPr>
        <w:t xml:space="preserve"> </w:t>
      </w:r>
      <w:r w:rsidR="00BB7D36">
        <w:rPr>
          <w:rFonts w:cstheme="minorHAnsi"/>
        </w:rPr>
        <w:t>used</w:t>
      </w:r>
      <w:r w:rsidRPr="006509F7">
        <w:rPr>
          <w:rFonts w:cstheme="minorHAnsi"/>
        </w:rPr>
        <w:t xml:space="preserve"> </w:t>
      </w:r>
      <w:r w:rsidRPr="006509F7">
        <w:rPr>
          <w:rFonts w:cstheme="minorHAnsi"/>
          <w:b/>
        </w:rPr>
        <w:t>generalized linear models</w:t>
      </w:r>
      <w:r w:rsidRPr="006509F7">
        <w:rPr>
          <w:rFonts w:cstheme="minorHAnsi"/>
        </w:rPr>
        <w:t xml:space="preserve"> to </w:t>
      </w:r>
      <w:r w:rsidR="00BB7D36">
        <w:rPr>
          <w:rFonts w:cstheme="minorHAnsi"/>
        </w:rPr>
        <w:t xml:space="preserve">examine which factors were most </w:t>
      </w:r>
      <w:r w:rsidR="00301D81">
        <w:rPr>
          <w:rFonts w:cstheme="minorHAnsi"/>
        </w:rPr>
        <w:t xml:space="preserve">closely associated with the changes in the target variables in hospital-based EDs. </w:t>
      </w:r>
      <w:r w:rsidR="00F747AC">
        <w:rPr>
          <w:rFonts w:cstheme="minorHAnsi"/>
          <w:color w:val="231F20"/>
        </w:rPr>
        <w:t>I</w:t>
      </w:r>
      <w:r w:rsidRPr="006D6416">
        <w:rPr>
          <w:rFonts w:cstheme="minorHAnsi"/>
          <w:color w:val="231F20"/>
        </w:rPr>
        <w:t xml:space="preserve"> identified Gamma-distributed dependent variables for visit volume, wait time and discharge </w:t>
      </w:r>
      <w:r w:rsidR="00A02C9C">
        <w:rPr>
          <w:rFonts w:cstheme="minorHAnsi"/>
          <w:color w:val="231F20"/>
        </w:rPr>
        <w:t xml:space="preserve">time </w:t>
      </w:r>
      <w:r w:rsidRPr="006D6416">
        <w:rPr>
          <w:rFonts w:cstheme="minorHAnsi"/>
          <w:color w:val="231F20"/>
        </w:rPr>
        <w:t>with log-linked function</w:t>
      </w:r>
      <w:r w:rsidRPr="00301D81">
        <w:rPr>
          <w:rFonts w:cstheme="minorHAnsi"/>
          <w:color w:val="231F20"/>
        </w:rPr>
        <w:t>. Poisson distribution was used</w:t>
      </w:r>
      <w:r w:rsidRPr="006D6416">
        <w:rPr>
          <w:rFonts w:cstheme="minorHAnsi"/>
          <w:color w:val="231F20"/>
        </w:rPr>
        <w:t xml:space="preserve"> for ED drop-out rate. The time efficien</w:t>
      </w:r>
      <w:r>
        <w:rPr>
          <w:rFonts w:cstheme="minorHAnsi"/>
          <w:color w:val="231F20"/>
        </w:rPr>
        <w:t>cy</w:t>
      </w:r>
      <w:r w:rsidRPr="006D6416">
        <w:rPr>
          <w:rFonts w:cstheme="minorHAnsi"/>
          <w:color w:val="231F20"/>
        </w:rPr>
        <w:t xml:space="preserve"> </w:t>
      </w:r>
      <w:r>
        <w:rPr>
          <w:rFonts w:cstheme="minorHAnsi"/>
          <w:color w:val="231F20"/>
        </w:rPr>
        <w:t>regressions</w:t>
      </w:r>
      <w:r w:rsidRPr="006D6416">
        <w:rPr>
          <w:rFonts w:cstheme="minorHAnsi"/>
          <w:color w:val="231F20"/>
        </w:rPr>
        <w:t xml:space="preserve"> </w:t>
      </w:r>
      <w:r>
        <w:rPr>
          <w:rFonts w:cstheme="minorHAnsi"/>
          <w:color w:val="231F20"/>
        </w:rPr>
        <w:t xml:space="preserve">(wait time, </w:t>
      </w:r>
      <w:r w:rsidR="00A02C9C" w:rsidRPr="006D6416">
        <w:rPr>
          <w:rFonts w:cstheme="minorHAnsi"/>
          <w:color w:val="231F20"/>
        </w:rPr>
        <w:t xml:space="preserve">discharge </w:t>
      </w:r>
      <w:r w:rsidR="00A02C9C">
        <w:rPr>
          <w:rFonts w:cstheme="minorHAnsi"/>
          <w:color w:val="231F20"/>
        </w:rPr>
        <w:t xml:space="preserve">time </w:t>
      </w:r>
      <w:r>
        <w:rPr>
          <w:rFonts w:cstheme="minorHAnsi"/>
          <w:color w:val="231F20"/>
        </w:rPr>
        <w:t xml:space="preserve">and drop-out rate) </w:t>
      </w:r>
      <w:r w:rsidRPr="006D6416">
        <w:rPr>
          <w:rFonts w:cstheme="minorHAnsi"/>
          <w:color w:val="231F20"/>
        </w:rPr>
        <w:t xml:space="preserve">were weighted by hospital visit volume. </w:t>
      </w:r>
      <w:r>
        <w:rPr>
          <w:rFonts w:cstheme="minorHAnsi"/>
          <w:color w:val="231F20"/>
        </w:rPr>
        <w:t xml:space="preserve">The estimated equation </w:t>
      </w:r>
      <w:r w:rsidR="009A6864">
        <w:rPr>
          <w:rFonts w:cstheme="minorHAnsi"/>
          <w:color w:val="231F20"/>
        </w:rPr>
        <w:t>wa</w:t>
      </w:r>
      <w:r>
        <w:rPr>
          <w:rFonts w:cstheme="minorHAnsi"/>
          <w:color w:val="231F20"/>
        </w:rPr>
        <w:t>s</w:t>
      </w:r>
      <w:r w:rsidR="00F747AC">
        <w:rPr>
          <w:rFonts w:cstheme="minorHAnsi"/>
          <w:color w:val="231F20"/>
        </w:rPr>
        <w:t xml:space="preserve"> the</w:t>
      </w:r>
      <w:r>
        <w:rPr>
          <w:rFonts w:cstheme="minorHAnsi"/>
          <w:color w:val="231F20"/>
        </w:rPr>
        <w:t xml:space="preserve"> </w:t>
      </w:r>
      <w:r w:rsidR="00F83B04">
        <w:rPr>
          <w:rFonts w:cstheme="minorHAnsi"/>
          <w:color w:val="231F20"/>
        </w:rPr>
        <w:t xml:space="preserve">following: </w:t>
      </w:r>
    </w:p>
    <w:p w14:paraId="23100022" w14:textId="017E5EF2" w:rsidR="00E80233" w:rsidRPr="006D6416" w:rsidRDefault="005377D0" w:rsidP="00334F9C">
      <w:pPr>
        <w:jc w:val="both"/>
        <w:rPr>
          <w:rFonts w:cstheme="minorHAnsi"/>
        </w:rPr>
      </w:pPr>
      <m:oMathPara>
        <m:oMath>
          <m:sSub>
            <m:sSubPr>
              <m:ctrlPr>
                <w:rPr>
                  <w:rFonts w:ascii="Cambria Math" w:hAnsi="Cambria Math" w:cstheme="minorHAnsi"/>
                </w:rPr>
              </m:ctrlPr>
            </m:sSubPr>
            <m:e>
              <m:r>
                <m:rPr>
                  <m:sty m:val="p"/>
                </m:rPr>
                <w:rPr>
                  <w:rFonts w:ascii="Cambria Math" w:hAnsi="Cambria Math" w:cstheme="minorHAnsi"/>
                </w:rPr>
                <m:t>Y</m:t>
              </m:r>
            </m:e>
            <m:sub>
              <m:r>
                <w:rPr>
                  <w:rFonts w:ascii="Cambria Math" w:hAnsi="Cambria Math" w:cstheme="minorHAnsi"/>
                </w:rPr>
                <m:t>it</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hint="eastAsia"/>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I[own SED]</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N[IFED]</m:t>
              </m:r>
            </m:e>
            <m:sub>
              <m:r>
                <w:rPr>
                  <w:rFonts w:ascii="Cambria Math" w:hAnsi="Cambria Math" w:cstheme="minorHAnsi"/>
                </w:rPr>
                <m:t>L,t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N[SED]</m:t>
              </m:r>
            </m:e>
            <m:sub>
              <m:r>
                <w:rPr>
                  <w:rFonts w:ascii="Cambria Math" w:hAnsi="Cambria Math" w:cstheme="minorHAnsi"/>
                </w:rPr>
                <m:t>L,t</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L,t</m:t>
              </m:r>
            </m:sub>
          </m:sSub>
          <m:r>
            <w:rPr>
              <w:rFonts w:ascii="Cambria Math" w:hAnsi="Cambria Math" w:cstheme="minorHAnsi"/>
            </w:rPr>
            <m:t>β)</m:t>
          </m:r>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є</m:t>
              </m:r>
            </m:e>
            <m:sub>
              <m:r>
                <w:rPr>
                  <w:rFonts w:ascii="Cambria Math" w:hAnsi="Cambria Math" w:cstheme="minorHAnsi"/>
                </w:rPr>
                <m:t>it</m:t>
              </m:r>
            </m:sub>
          </m:sSub>
        </m:oMath>
      </m:oMathPara>
    </w:p>
    <w:p w14:paraId="0F9BBC3E" w14:textId="6C53F6F1" w:rsidR="001E5E06" w:rsidRDefault="00C9721C" w:rsidP="006509F7">
      <w:pPr>
        <w:jc w:val="both"/>
        <w:rPr>
          <w:rFonts w:cstheme="minorHAnsi"/>
        </w:rPr>
      </w:pPr>
      <w:r w:rsidRPr="00C9721C">
        <w:rPr>
          <w:rFonts w:cstheme="minorHAnsi"/>
        </w:rPr>
        <w:t>where</w:t>
      </w:r>
      <w:r>
        <w:rPr>
          <w:rFonts w:cstheme="minorHAnsi"/>
          <w:b/>
        </w:rPr>
        <w:t xml:space="preserve"> </w:t>
      </w:r>
      <w:r w:rsidR="00981708" w:rsidRPr="00453FBA">
        <w:rPr>
          <w:rFonts w:cstheme="minorHAnsi"/>
          <w:b/>
          <w:i/>
        </w:rPr>
        <w:t>IFED</w:t>
      </w:r>
      <w:r w:rsidR="002A07BA">
        <w:rPr>
          <w:rFonts w:cstheme="minorHAnsi"/>
          <w:b/>
          <w:i/>
        </w:rPr>
        <w:t xml:space="preserve">, </w:t>
      </w:r>
      <w:r w:rsidR="002A07BA" w:rsidRPr="00453FBA">
        <w:rPr>
          <w:rFonts w:cstheme="minorHAnsi"/>
          <w:b/>
          <w:i/>
        </w:rPr>
        <w:t>SED</w:t>
      </w:r>
      <w:r w:rsidR="002A07BA">
        <w:rPr>
          <w:rFonts w:cstheme="minorHAnsi"/>
          <w:b/>
          <w:i/>
        </w:rPr>
        <w:t>, and HBED</w:t>
      </w:r>
      <w:r>
        <w:rPr>
          <w:rFonts w:cstheme="minorHAnsi"/>
        </w:rPr>
        <w:t xml:space="preserve"> </w:t>
      </w:r>
      <w:r w:rsidR="008F62F8">
        <w:rPr>
          <w:rFonts w:cstheme="minorHAnsi"/>
        </w:rPr>
        <w:t>represent</w:t>
      </w:r>
      <w:r w:rsidR="00AC0AA6">
        <w:rPr>
          <w:rFonts w:cstheme="minorHAnsi"/>
        </w:rPr>
        <w:t>ed</w:t>
      </w:r>
      <w:r w:rsidR="00981708" w:rsidRPr="00C9721C">
        <w:rPr>
          <w:rFonts w:cstheme="minorHAnsi"/>
        </w:rPr>
        <w:t xml:space="preserve"> independent freestanding ED</w:t>
      </w:r>
      <w:r w:rsidR="002A07BA">
        <w:rPr>
          <w:rFonts w:cstheme="minorHAnsi"/>
        </w:rPr>
        <w:t>,</w:t>
      </w:r>
      <w:r w:rsidR="00981708" w:rsidRPr="00C9721C">
        <w:rPr>
          <w:rFonts w:cstheme="minorHAnsi"/>
        </w:rPr>
        <w:t xml:space="preserve"> hospital satellite ED</w:t>
      </w:r>
      <w:r w:rsidR="002A07BA">
        <w:rPr>
          <w:rFonts w:cstheme="minorHAnsi"/>
        </w:rPr>
        <w:t>, and</w:t>
      </w:r>
      <w:r w:rsidR="00981708" w:rsidRPr="00C9721C">
        <w:rPr>
          <w:rFonts w:cstheme="minorHAnsi"/>
        </w:rPr>
        <w:t xml:space="preserve"> hospital-based ED</w:t>
      </w:r>
      <w:r w:rsidR="002A07BA">
        <w:rPr>
          <w:rFonts w:cstheme="minorHAnsi"/>
        </w:rPr>
        <w:t>, respectively</w:t>
      </w:r>
      <w:r>
        <w:rPr>
          <w:rFonts w:cstheme="minorHAnsi"/>
        </w:rPr>
        <w:t xml:space="preserve">. The </w:t>
      </w:r>
      <w:r w:rsidRPr="00C9721C">
        <w:rPr>
          <w:rFonts w:cstheme="minorHAnsi"/>
          <w:b/>
        </w:rPr>
        <w:t>d</w:t>
      </w:r>
      <w:r w:rsidR="00981708" w:rsidRPr="00C9721C">
        <w:rPr>
          <w:rFonts w:cstheme="minorHAnsi"/>
          <w:b/>
        </w:rPr>
        <w:t>e</w:t>
      </w:r>
      <w:r w:rsidR="00981708" w:rsidRPr="006D6416">
        <w:rPr>
          <w:rFonts w:cstheme="minorHAnsi"/>
          <w:b/>
        </w:rPr>
        <w:t>pendent</w:t>
      </w:r>
      <w:r w:rsidR="00A96FA2" w:rsidRPr="006D6416">
        <w:rPr>
          <w:rFonts w:cstheme="minorHAnsi"/>
          <w:b/>
        </w:rPr>
        <w:t xml:space="preserve"> variable</w:t>
      </w:r>
      <w:r w:rsidR="003943FD" w:rsidRPr="006D6416">
        <w:rPr>
          <w:rFonts w:cstheme="minorHAnsi"/>
          <w:b/>
        </w:rPr>
        <w:t>s</w:t>
      </w:r>
      <w:r>
        <w:rPr>
          <w:rFonts w:cstheme="minorHAnsi"/>
        </w:rPr>
        <w:t xml:space="preserve"> </w:t>
      </w:r>
      <w:r w:rsidR="00AC0AA6">
        <w:rPr>
          <w:rFonts w:cstheme="minorHAnsi"/>
        </w:rPr>
        <w:t>were</w:t>
      </w:r>
      <w:r w:rsidR="00A96FA2" w:rsidRPr="006D6416">
        <w:rPr>
          <w:rFonts w:cstheme="minorHAnsi"/>
        </w:rPr>
        <w:t xml:space="preserve"> hospital annual visits, </w:t>
      </w:r>
      <w:r w:rsidR="00A02C9C">
        <w:rPr>
          <w:rFonts w:cstheme="minorHAnsi"/>
        </w:rPr>
        <w:t>median</w:t>
      </w:r>
      <w:r>
        <w:rPr>
          <w:rFonts w:cstheme="minorHAnsi"/>
        </w:rPr>
        <w:t xml:space="preserve"> </w:t>
      </w:r>
      <w:r w:rsidR="002A07BA">
        <w:rPr>
          <w:rFonts w:cstheme="minorHAnsi"/>
        </w:rPr>
        <w:t>wait</w:t>
      </w:r>
      <w:r w:rsidR="00A96FA2" w:rsidRPr="006D6416">
        <w:rPr>
          <w:rFonts w:cstheme="minorHAnsi"/>
        </w:rPr>
        <w:t xml:space="preserve"> time, </w:t>
      </w:r>
      <w:r w:rsidR="00A02C9C">
        <w:rPr>
          <w:rFonts w:cstheme="minorHAnsi"/>
        </w:rPr>
        <w:t>median</w:t>
      </w:r>
      <w:r>
        <w:rPr>
          <w:rFonts w:cstheme="minorHAnsi"/>
        </w:rPr>
        <w:t xml:space="preserve"> </w:t>
      </w:r>
      <w:r w:rsidR="00A02C9C" w:rsidRPr="006D6416">
        <w:rPr>
          <w:rFonts w:cstheme="minorHAnsi"/>
          <w:color w:val="231F20"/>
        </w:rPr>
        <w:t xml:space="preserve">discharge </w:t>
      </w:r>
      <w:r w:rsidR="00A02C9C">
        <w:rPr>
          <w:rFonts w:cstheme="minorHAnsi"/>
          <w:color w:val="231F20"/>
        </w:rPr>
        <w:t>time</w:t>
      </w:r>
      <w:r w:rsidR="00A96FA2" w:rsidRPr="006D6416">
        <w:rPr>
          <w:rFonts w:cstheme="minorHAnsi"/>
        </w:rPr>
        <w:t xml:space="preserve">, and </w:t>
      </w:r>
      <w:r>
        <w:rPr>
          <w:rFonts w:cstheme="minorHAnsi"/>
        </w:rPr>
        <w:t xml:space="preserve">annual </w:t>
      </w:r>
      <w:r w:rsidR="00A96FA2" w:rsidRPr="006D6416">
        <w:rPr>
          <w:rFonts w:cstheme="minorHAnsi"/>
        </w:rPr>
        <w:t xml:space="preserve">drop-out rate. </w:t>
      </w:r>
      <w:r>
        <w:rPr>
          <w:rFonts w:cstheme="minorHAnsi"/>
        </w:rPr>
        <w:t xml:space="preserve">The </w:t>
      </w:r>
      <w:r w:rsidR="00453FBA">
        <w:rPr>
          <w:rFonts w:cstheme="minorHAnsi"/>
          <w:b/>
        </w:rPr>
        <w:t>e</w:t>
      </w:r>
      <w:r w:rsidR="00E56278" w:rsidRPr="006D6416">
        <w:rPr>
          <w:rFonts w:cstheme="minorHAnsi"/>
          <w:b/>
        </w:rPr>
        <w:t>xploratory variable</w:t>
      </w:r>
      <w:r w:rsidR="003943FD" w:rsidRPr="006D6416">
        <w:rPr>
          <w:rFonts w:cstheme="minorHAnsi"/>
          <w:b/>
        </w:rPr>
        <w:t>s</w:t>
      </w:r>
      <w:r>
        <w:rPr>
          <w:rFonts w:cstheme="minorHAnsi"/>
        </w:rPr>
        <w:t xml:space="preserve"> include</w:t>
      </w:r>
      <w:r w:rsidR="00AC0AA6">
        <w:rPr>
          <w:rFonts w:cstheme="minorHAnsi"/>
        </w:rPr>
        <w:t>d</w:t>
      </w:r>
      <w:r w:rsidR="00453FBA">
        <w:rPr>
          <w:rFonts w:cstheme="minorHAnsi"/>
        </w:rPr>
        <w:t xml:space="preserve"> </w:t>
      </w:r>
      <w:r w:rsidR="00E56278" w:rsidRPr="006D6416">
        <w:rPr>
          <w:rFonts w:cstheme="minorHAnsi"/>
        </w:rPr>
        <w:t>number of competitors</w:t>
      </w:r>
      <w:r w:rsidR="00E7507D">
        <w:rPr>
          <w:rFonts w:cstheme="minorHAnsi"/>
        </w:rPr>
        <w:t xml:space="preserve"> </w:t>
      </w:r>
      <m:oMath>
        <m:sSub>
          <m:sSubPr>
            <m:ctrlPr>
              <w:rPr>
                <w:rFonts w:ascii="Cambria Math" w:hAnsi="Cambria Math" w:cstheme="minorHAnsi"/>
                <w:i/>
              </w:rPr>
            </m:ctrlPr>
          </m:sSubPr>
          <m:e>
            <m:r>
              <w:rPr>
                <w:rFonts w:ascii="Cambria Math" w:hAnsi="Cambria Math" w:cstheme="minorHAnsi"/>
              </w:rPr>
              <m:t>N[IFED]</m:t>
            </m:r>
          </m:e>
          <m:sub>
            <m:r>
              <w:rPr>
                <w:rFonts w:ascii="Cambria Math" w:hAnsi="Cambria Math" w:cstheme="minorHAnsi"/>
              </w:rPr>
              <m:t>L,t</m:t>
            </m:r>
          </m:sub>
        </m:sSub>
      </m:oMath>
      <w:r w:rsidR="005D455F">
        <w:rPr>
          <w:rFonts w:cstheme="minorHAnsi"/>
        </w:rPr>
        <w:t xml:space="preserve"> and</w:t>
      </w:r>
      <w:r w:rsidR="001E5E06">
        <w:rPr>
          <w:rFonts w:cstheme="minorHAnsi"/>
        </w:rPr>
        <w:t xml:space="preserve"> </w:t>
      </w:r>
      <m:oMath>
        <m:sSub>
          <m:sSubPr>
            <m:ctrlPr>
              <w:rPr>
                <w:rFonts w:ascii="Cambria Math" w:hAnsi="Cambria Math" w:cstheme="minorHAnsi"/>
                <w:i/>
              </w:rPr>
            </m:ctrlPr>
          </m:sSubPr>
          <m:e>
            <m:r>
              <w:rPr>
                <w:rFonts w:ascii="Cambria Math" w:hAnsi="Cambria Math" w:cstheme="minorHAnsi"/>
              </w:rPr>
              <m:t>N[SED]</m:t>
            </m:r>
          </m:e>
          <m:sub>
            <m:r>
              <w:rPr>
                <w:rFonts w:ascii="Cambria Math" w:hAnsi="Cambria Math" w:cstheme="minorHAnsi"/>
              </w:rPr>
              <m:t>L,t</m:t>
            </m:r>
          </m:sub>
        </m:sSub>
      </m:oMath>
      <w:r w:rsidR="001E5E06" w:rsidRPr="006D6416">
        <w:rPr>
          <w:rFonts w:cstheme="minorHAnsi"/>
        </w:rPr>
        <w:t xml:space="preserve"> </w:t>
      </w:r>
      <w:r w:rsidR="00E56278" w:rsidRPr="006D6416">
        <w:rPr>
          <w:rFonts w:cstheme="minorHAnsi"/>
        </w:rPr>
        <w:t xml:space="preserve">in the </w:t>
      </w:r>
      <w:r w:rsidR="000D27CD">
        <w:rPr>
          <w:rFonts w:cstheme="minorHAnsi"/>
        </w:rPr>
        <w:t xml:space="preserve">located </w:t>
      </w:r>
      <w:r w:rsidR="00E56278" w:rsidRPr="006D6416">
        <w:rPr>
          <w:rFonts w:cstheme="minorHAnsi"/>
        </w:rPr>
        <w:t>PUMA</w:t>
      </w:r>
      <w:r w:rsidR="00687BDE" w:rsidRPr="006D6416">
        <w:rPr>
          <w:rFonts w:cstheme="minorHAnsi"/>
        </w:rPr>
        <w:t xml:space="preserve"> </w:t>
      </w:r>
      <w:r w:rsidR="00687BDE" w:rsidRPr="00453FBA">
        <w:rPr>
          <w:rFonts w:cstheme="minorHAnsi"/>
          <w:i/>
        </w:rPr>
        <w:t>L</w:t>
      </w:r>
      <w:r w:rsidR="00E7507D">
        <w:rPr>
          <w:rFonts w:cstheme="minorHAnsi"/>
        </w:rPr>
        <w:t xml:space="preserve"> </w:t>
      </w:r>
      <w:r w:rsidR="002A07BA">
        <w:rPr>
          <w:rFonts w:cstheme="minorHAnsi"/>
        </w:rPr>
        <w:t>in</w:t>
      </w:r>
      <w:r w:rsidR="00E7507D">
        <w:rPr>
          <w:rFonts w:cstheme="minorHAnsi"/>
        </w:rPr>
        <w:t xml:space="preserve"> </w:t>
      </w:r>
      <w:r w:rsidR="00453FBA">
        <w:rPr>
          <w:rFonts w:cstheme="minorHAnsi"/>
        </w:rPr>
        <w:t>year</w:t>
      </w:r>
      <w:r w:rsidR="00E7507D">
        <w:rPr>
          <w:rFonts w:cstheme="minorHAnsi"/>
        </w:rPr>
        <w:t xml:space="preserve"> </w:t>
      </w:r>
      <w:r w:rsidR="00E7507D" w:rsidRPr="00453FBA">
        <w:rPr>
          <w:rFonts w:cstheme="minorHAnsi"/>
          <w:i/>
        </w:rPr>
        <w:t>t</w:t>
      </w:r>
      <w:r w:rsidR="000D27CD">
        <w:rPr>
          <w:rFonts w:cstheme="minorHAnsi"/>
        </w:rPr>
        <w:t xml:space="preserve">. </w:t>
      </w:r>
      <w:r w:rsidR="00290576">
        <w:rPr>
          <w:rFonts w:cstheme="minorHAnsi"/>
          <w:color w:val="231F20"/>
        </w:rPr>
        <w:t xml:space="preserve">PUMA was also used to define the market and count number of competitors in the same areas. </w:t>
      </w:r>
      <w:r w:rsidR="00E7507D">
        <w:rPr>
          <w:rFonts w:cstheme="minorHAnsi"/>
        </w:rPr>
        <w:t xml:space="preserve">I also tested number of competitors within a 3-mile radius of </w:t>
      </w:r>
      <w:r w:rsidR="00453FBA">
        <w:rPr>
          <w:rFonts w:cstheme="minorHAnsi"/>
        </w:rPr>
        <w:t>a</w:t>
      </w:r>
      <w:r w:rsidR="00E7507D">
        <w:rPr>
          <w:rFonts w:cstheme="minorHAnsi"/>
        </w:rPr>
        <w:t xml:space="preserve"> hospital, and the results </w:t>
      </w:r>
      <w:r w:rsidR="00AC0AA6">
        <w:rPr>
          <w:rFonts w:cstheme="minorHAnsi"/>
        </w:rPr>
        <w:t>were</w:t>
      </w:r>
      <w:r w:rsidR="00E7507D">
        <w:rPr>
          <w:rFonts w:cstheme="minorHAnsi"/>
        </w:rPr>
        <w:t xml:space="preserve"> unaffected by using this measurement. </w:t>
      </w:r>
    </w:p>
    <w:p w14:paraId="508E918B" w14:textId="1BC5B50C" w:rsidR="008A3C15" w:rsidRDefault="00B01BEE" w:rsidP="006509F7">
      <w:pPr>
        <w:jc w:val="both"/>
        <w:rPr>
          <w:rFonts w:cstheme="minorHAnsi"/>
        </w:rPr>
      </w:pPr>
      <w:r>
        <w:rPr>
          <w:rFonts w:cstheme="minorHAnsi"/>
        </w:rPr>
        <w:t>Whether owned</w:t>
      </w:r>
      <w:r w:rsidR="00E7507D">
        <w:rPr>
          <w:rFonts w:cstheme="minorHAnsi"/>
        </w:rPr>
        <w:t xml:space="preserve"> satellite ED</w:t>
      </w:r>
      <w:r>
        <w:rPr>
          <w:rFonts w:cstheme="minorHAnsi"/>
        </w:rPr>
        <w:t>(</w:t>
      </w:r>
      <w:r w:rsidR="00E7507D">
        <w:rPr>
          <w:rFonts w:cstheme="minorHAnsi"/>
        </w:rPr>
        <w:t>s</w:t>
      </w:r>
      <w:r>
        <w:rPr>
          <w:rFonts w:cstheme="minorHAnsi"/>
        </w:rPr>
        <w:t>)</w:t>
      </w:r>
      <w:r w:rsidR="004E2B6D">
        <w:rPr>
          <w:rFonts w:cstheme="minorHAnsi"/>
        </w:rPr>
        <w:t xml:space="preserve"> </w:t>
      </w:r>
      <w:r w:rsidR="002A07BA">
        <w:rPr>
          <w:rFonts w:cstheme="minorHAnsi"/>
        </w:rPr>
        <w:t xml:space="preserve">by hospital </w:t>
      </w:r>
      <w:proofErr w:type="spellStart"/>
      <w:r w:rsidR="002A07BA">
        <w:rPr>
          <w:rFonts w:cstheme="minorHAnsi"/>
        </w:rPr>
        <w:t>i</w:t>
      </w:r>
      <w:proofErr w:type="spellEnd"/>
      <w:r w:rsidR="002A07BA">
        <w:rPr>
          <w:rFonts w:cstheme="minorHAnsi"/>
        </w:rPr>
        <w:t xml:space="preserve"> </w:t>
      </w:r>
      <w:r w:rsidR="004E2B6D">
        <w:rPr>
          <w:rFonts w:cstheme="minorHAnsi"/>
        </w:rPr>
        <w:t xml:space="preserve">at time </w:t>
      </w:r>
      <w:r w:rsidR="004E2B6D" w:rsidRPr="00453FBA">
        <w:rPr>
          <w:rFonts w:cstheme="minorHAnsi"/>
          <w:i/>
        </w:rPr>
        <w:t>t</w:t>
      </w:r>
      <w:r w:rsidR="004E2B6D">
        <w:rPr>
          <w:rFonts w:cstheme="minorHAnsi"/>
        </w:rPr>
        <w:t xml:space="preserve">, </w:t>
      </w:r>
      <m:oMath>
        <m:sSub>
          <m:sSubPr>
            <m:ctrlPr>
              <w:rPr>
                <w:rFonts w:ascii="Cambria Math" w:hAnsi="Cambria Math" w:cstheme="minorHAnsi"/>
              </w:rPr>
            </m:ctrlPr>
          </m:sSubPr>
          <m:e>
            <m:r>
              <w:rPr>
                <w:rFonts w:ascii="Cambria Math" w:hAnsi="Cambria Math" w:cstheme="minorHAnsi"/>
              </w:rPr>
              <m:t>I[own SED]</m:t>
            </m:r>
          </m:e>
          <m:sub>
            <m:r>
              <w:rPr>
                <w:rFonts w:ascii="Cambria Math" w:hAnsi="Cambria Math" w:cstheme="minorHAnsi"/>
              </w:rPr>
              <m:t>t</m:t>
            </m:r>
          </m:sub>
        </m:sSub>
      </m:oMath>
      <w:r w:rsidR="004E2B6D">
        <w:rPr>
          <w:rFonts w:cstheme="minorHAnsi"/>
        </w:rPr>
        <w:t>,</w:t>
      </w:r>
      <w:r w:rsidR="00E7507D">
        <w:rPr>
          <w:rFonts w:cstheme="minorHAnsi"/>
        </w:rPr>
        <w:t xml:space="preserve"> </w:t>
      </w:r>
      <w:r w:rsidR="000C44AB">
        <w:rPr>
          <w:rFonts w:cstheme="minorHAnsi"/>
        </w:rPr>
        <w:t>wa</w:t>
      </w:r>
      <w:r w:rsidR="00E7507D">
        <w:rPr>
          <w:rFonts w:cstheme="minorHAnsi"/>
        </w:rPr>
        <w:t xml:space="preserve">s another </w:t>
      </w:r>
      <w:r w:rsidR="000D203B">
        <w:rPr>
          <w:rFonts w:cstheme="minorHAnsi"/>
        </w:rPr>
        <w:t xml:space="preserve">crucial element in </w:t>
      </w:r>
      <w:r w:rsidR="002A07BA">
        <w:rPr>
          <w:rFonts w:cstheme="minorHAnsi"/>
        </w:rPr>
        <w:t>my</w:t>
      </w:r>
      <w:r w:rsidR="000D203B">
        <w:rPr>
          <w:rFonts w:cstheme="minorHAnsi"/>
        </w:rPr>
        <w:t xml:space="preserve"> analysis</w:t>
      </w:r>
      <w:r w:rsidR="00E7507D">
        <w:rPr>
          <w:rFonts w:cstheme="minorHAnsi"/>
        </w:rPr>
        <w:t xml:space="preserve">.  </w:t>
      </w:r>
      <w:r w:rsidR="000D203B">
        <w:rPr>
          <w:rFonts w:cstheme="minorHAnsi"/>
        </w:rPr>
        <w:t>I suggest</w:t>
      </w:r>
      <w:r w:rsidR="000C44AB">
        <w:rPr>
          <w:rFonts w:cstheme="minorHAnsi"/>
        </w:rPr>
        <w:t>ed</w:t>
      </w:r>
      <w:r w:rsidR="000D203B">
        <w:rPr>
          <w:rFonts w:cstheme="minorHAnsi"/>
        </w:rPr>
        <w:t xml:space="preserve"> those satellite </w:t>
      </w:r>
      <w:r w:rsidR="002A07BA">
        <w:rPr>
          <w:rFonts w:cstheme="minorHAnsi"/>
        </w:rPr>
        <w:t>EDs</w:t>
      </w:r>
      <w:r w:rsidR="000D203B">
        <w:rPr>
          <w:rFonts w:cstheme="minorHAnsi"/>
        </w:rPr>
        <w:t xml:space="preserve"> serve</w:t>
      </w:r>
      <w:r w:rsidR="000C44AB">
        <w:rPr>
          <w:rFonts w:cstheme="minorHAnsi"/>
        </w:rPr>
        <w:t>d</w:t>
      </w:r>
      <w:r w:rsidR="000D203B">
        <w:rPr>
          <w:rFonts w:cstheme="minorHAnsi"/>
        </w:rPr>
        <w:t xml:space="preserve"> as feeders to</w:t>
      </w:r>
      <w:r w:rsidR="002A07BA">
        <w:rPr>
          <w:rFonts w:cstheme="minorHAnsi"/>
        </w:rPr>
        <w:t xml:space="preserve"> their</w:t>
      </w:r>
      <w:r w:rsidR="000D203B">
        <w:rPr>
          <w:rFonts w:cstheme="minorHAnsi"/>
        </w:rPr>
        <w:t xml:space="preserve"> parent hospitals </w:t>
      </w:r>
      <w:r w:rsidR="002A07BA">
        <w:rPr>
          <w:rFonts w:cstheme="minorHAnsi"/>
        </w:rPr>
        <w:t xml:space="preserve">by attracting patients far away from the main campus. They </w:t>
      </w:r>
      <w:r w:rsidR="000C44AB">
        <w:rPr>
          <w:rFonts w:cstheme="minorHAnsi"/>
        </w:rPr>
        <w:t>might</w:t>
      </w:r>
      <w:r w:rsidR="002A07BA">
        <w:rPr>
          <w:rFonts w:cstheme="minorHAnsi"/>
        </w:rPr>
        <w:t xml:space="preserve"> also improve </w:t>
      </w:r>
      <w:r w:rsidR="001E5E06">
        <w:rPr>
          <w:rFonts w:cstheme="minorHAnsi"/>
        </w:rPr>
        <w:t xml:space="preserve">hospital </w:t>
      </w:r>
      <w:r w:rsidR="002A07BA">
        <w:rPr>
          <w:rFonts w:cstheme="minorHAnsi"/>
        </w:rPr>
        <w:t xml:space="preserve">efficiency </w:t>
      </w:r>
      <w:r w:rsidR="001E5E06">
        <w:rPr>
          <w:rFonts w:cstheme="minorHAnsi"/>
        </w:rPr>
        <w:t>by diverting patients to locations with short wait time</w:t>
      </w:r>
      <w:r w:rsidR="000D203B">
        <w:rPr>
          <w:rFonts w:cstheme="minorHAnsi"/>
        </w:rPr>
        <w:t>.</w:t>
      </w:r>
      <w:r w:rsidR="008A3C15">
        <w:rPr>
          <w:rFonts w:cstheme="minorHAnsi"/>
        </w:rPr>
        <w:t xml:space="preserve"> The owned satellite </w:t>
      </w:r>
      <w:r w:rsidR="001E5E06">
        <w:rPr>
          <w:rFonts w:cstheme="minorHAnsi"/>
        </w:rPr>
        <w:t xml:space="preserve">ED </w:t>
      </w:r>
      <w:r w:rsidR="000C44AB">
        <w:rPr>
          <w:rFonts w:cstheme="minorHAnsi"/>
        </w:rPr>
        <w:t>wa</w:t>
      </w:r>
      <w:r w:rsidR="001E5E06">
        <w:rPr>
          <w:rFonts w:cstheme="minorHAnsi"/>
        </w:rPr>
        <w:t>s</w:t>
      </w:r>
      <w:r w:rsidR="008A3C15">
        <w:rPr>
          <w:rFonts w:cstheme="minorHAnsi"/>
        </w:rPr>
        <w:t xml:space="preserve"> not counted as a competitor</w:t>
      </w:r>
      <w:r w:rsidR="001E5E06">
        <w:rPr>
          <w:rFonts w:cstheme="minorHAnsi"/>
        </w:rPr>
        <w:t xml:space="preserve"> in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N[SED]</m:t>
            </m:r>
          </m:e>
          <m:sub>
            <m:r>
              <w:rPr>
                <w:rFonts w:ascii="Cambria Math" w:hAnsi="Cambria Math" w:cstheme="minorHAnsi"/>
              </w:rPr>
              <m:t>L,t</m:t>
            </m:r>
          </m:sub>
        </m:sSub>
      </m:oMath>
      <w:r w:rsidR="008A3C15">
        <w:rPr>
          <w:rFonts w:cstheme="minorHAnsi"/>
        </w:rPr>
        <w:t xml:space="preserve"> if </w:t>
      </w:r>
      <w:r w:rsidR="001E5E06">
        <w:rPr>
          <w:rFonts w:cstheme="minorHAnsi"/>
        </w:rPr>
        <w:t>it l</w:t>
      </w:r>
      <w:r w:rsidR="008A3C15">
        <w:rPr>
          <w:rFonts w:cstheme="minorHAnsi"/>
        </w:rPr>
        <w:t>ocate</w:t>
      </w:r>
      <w:r w:rsidR="000C44AB">
        <w:rPr>
          <w:rFonts w:cstheme="minorHAnsi"/>
        </w:rPr>
        <w:t>d</w:t>
      </w:r>
      <w:r w:rsidR="008A3C15">
        <w:rPr>
          <w:rFonts w:cstheme="minorHAnsi"/>
        </w:rPr>
        <w:t xml:space="preserve"> in the same PUMA</w:t>
      </w:r>
      <w:r w:rsidR="001E5E06">
        <w:rPr>
          <w:rFonts w:cstheme="minorHAnsi"/>
        </w:rPr>
        <w:t xml:space="preserve"> as its main hospital</w:t>
      </w:r>
      <w:r w:rsidR="008A3C15">
        <w:rPr>
          <w:rFonts w:cstheme="minorHAnsi"/>
        </w:rPr>
        <w:t>.</w:t>
      </w:r>
    </w:p>
    <w:p w14:paraId="745D18B2" w14:textId="7E099C93" w:rsidR="006509F7" w:rsidRDefault="005377D0" w:rsidP="006509F7">
      <w:pPr>
        <w:jc w:val="both"/>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t</m:t>
            </m:r>
          </m:sub>
        </m:sSub>
      </m:oMath>
      <w:r w:rsidR="00281436" w:rsidRPr="006D6416">
        <w:rPr>
          <w:rFonts w:cstheme="minorHAnsi"/>
        </w:rPr>
        <w:t xml:space="preserve"> </w:t>
      </w:r>
      <w:r w:rsidR="000C44AB">
        <w:rPr>
          <w:rFonts w:cstheme="minorHAnsi"/>
        </w:rPr>
        <w:t>were</w:t>
      </w:r>
      <w:r w:rsidR="000D203B">
        <w:rPr>
          <w:rFonts w:cstheme="minorHAnsi"/>
        </w:rPr>
        <w:t xml:space="preserve"> </w:t>
      </w:r>
      <w:r w:rsidR="00281436" w:rsidRPr="006D6416">
        <w:rPr>
          <w:rFonts w:cstheme="minorHAnsi"/>
        </w:rPr>
        <w:t>demographic characteristics</w:t>
      </w:r>
      <w:r w:rsidR="000D203B">
        <w:rPr>
          <w:rFonts w:cstheme="minorHAnsi"/>
        </w:rPr>
        <w:t xml:space="preserve">, including PUMA-level household income, </w:t>
      </w:r>
      <w:r w:rsidR="000B6A2D">
        <w:rPr>
          <w:rFonts w:cstheme="minorHAnsi"/>
        </w:rPr>
        <w:t>percent</w:t>
      </w:r>
      <w:r w:rsidR="00F55CDF">
        <w:rPr>
          <w:rFonts w:cstheme="minorHAnsi"/>
        </w:rPr>
        <w:t>age</w:t>
      </w:r>
      <w:r w:rsidR="000B6A2D">
        <w:rPr>
          <w:rFonts w:cstheme="minorHAnsi"/>
        </w:rPr>
        <w:t xml:space="preserve"> of residents </w:t>
      </w:r>
      <w:r w:rsidR="006F1CD0">
        <w:rPr>
          <w:rFonts w:cstheme="minorHAnsi"/>
        </w:rPr>
        <w:t>above 65</w:t>
      </w:r>
      <w:r w:rsidR="000B6A2D">
        <w:rPr>
          <w:rFonts w:cstheme="minorHAnsi"/>
        </w:rPr>
        <w:t xml:space="preserve">, </w:t>
      </w:r>
      <w:r w:rsidR="006509F7">
        <w:rPr>
          <w:rFonts w:cstheme="minorHAnsi"/>
        </w:rPr>
        <w:t>percent</w:t>
      </w:r>
      <w:r w:rsidR="00F55CDF">
        <w:rPr>
          <w:rFonts w:cstheme="minorHAnsi"/>
        </w:rPr>
        <w:t>age</w:t>
      </w:r>
      <w:r w:rsidR="006509F7">
        <w:rPr>
          <w:rFonts w:cstheme="minorHAnsi"/>
        </w:rPr>
        <w:t xml:space="preserve"> of Hispanic</w:t>
      </w:r>
      <w:r w:rsidR="006F1CD0">
        <w:rPr>
          <w:rFonts w:cstheme="minorHAnsi"/>
        </w:rPr>
        <w:t>/Black</w:t>
      </w:r>
      <w:r w:rsidR="006509F7">
        <w:rPr>
          <w:rFonts w:cstheme="minorHAnsi"/>
        </w:rPr>
        <w:t xml:space="preserve"> residents, and population density</w:t>
      </w:r>
      <w:r w:rsidR="000D203B">
        <w:rPr>
          <w:rFonts w:cstheme="minorHAnsi"/>
        </w:rPr>
        <w:t>.</w:t>
      </w:r>
      <w:r w:rsidR="006509F7">
        <w:rPr>
          <w:rFonts w:cstheme="minorHAnsi"/>
        </w:rPr>
        <w:t xml:space="preserve"> Some other relevant demographic characteristics </w:t>
      </w:r>
      <w:r w:rsidR="00BA6540">
        <w:rPr>
          <w:rFonts w:cstheme="minorHAnsi"/>
        </w:rPr>
        <w:t>were</w:t>
      </w:r>
      <w:r w:rsidR="006509F7">
        <w:rPr>
          <w:rFonts w:cstheme="minorHAnsi"/>
        </w:rPr>
        <w:t xml:space="preserve"> </w:t>
      </w:r>
      <w:r w:rsidR="00BA6540">
        <w:rPr>
          <w:rFonts w:cstheme="minorHAnsi"/>
        </w:rPr>
        <w:t>dropped</w:t>
      </w:r>
      <w:r w:rsidR="006509F7">
        <w:rPr>
          <w:rFonts w:cstheme="minorHAnsi"/>
        </w:rPr>
        <w:t xml:space="preserve"> due to </w:t>
      </w:r>
      <w:r w:rsidR="00453FBA">
        <w:rPr>
          <w:rFonts w:cstheme="minorHAnsi"/>
        </w:rPr>
        <w:t>multico</w:t>
      </w:r>
      <w:r w:rsidR="006509F7">
        <w:rPr>
          <w:rFonts w:cstheme="minorHAnsi"/>
        </w:rPr>
        <w:t>llinearity</w:t>
      </w:r>
      <w:r w:rsidR="00453FBA">
        <w:rPr>
          <w:rFonts w:cstheme="minorHAnsi"/>
        </w:rPr>
        <w:t xml:space="preserve"> concerns</w:t>
      </w:r>
      <w:r w:rsidR="006509F7">
        <w:rPr>
          <w:rFonts w:cstheme="minorHAnsi"/>
        </w:rPr>
        <w:t>.</w:t>
      </w:r>
      <w:r w:rsidR="00BA6540">
        <w:rPr>
          <w:rFonts w:cstheme="minorHAnsi"/>
        </w:rPr>
        <w:t xml:space="preserve"> </w:t>
      </w:r>
      <w:r w:rsidR="0077455B">
        <w:rPr>
          <w:rFonts w:cstheme="minorHAnsi"/>
        </w:rPr>
        <w:t>I</w:t>
      </w:r>
      <w:r w:rsidR="00BA6540">
        <w:rPr>
          <w:rFonts w:cstheme="minorHAnsi"/>
        </w:rPr>
        <w:t xml:space="preserve"> excluded variables with a variance inflation factor greater than 2.5 from the regressions.</w:t>
      </w:r>
      <w:r w:rsidR="006509F7">
        <w:rPr>
          <w:rFonts w:cstheme="minorHAnsi"/>
        </w:rPr>
        <w:t xml:space="preserve"> </w:t>
      </w:r>
      <m:oMath>
        <m:sSub>
          <m:sSubPr>
            <m:ctrlPr>
              <w:rPr>
                <w:rFonts w:ascii="Cambria Math" w:hAnsi="Cambria Math" w:cstheme="minorHAnsi"/>
              </w:rPr>
            </m:ctrlPr>
          </m:sSubPr>
          <m:e>
            <m:r>
              <w:rPr>
                <w:rFonts w:ascii="Cambria Math" w:hAnsi="Cambria Math" w:cstheme="minorHAnsi"/>
              </w:rPr>
              <m:t>τ</m:t>
            </m:r>
          </m:e>
          <m:sub>
            <m:r>
              <w:rPr>
                <w:rFonts w:ascii="Cambria Math" w:hAnsi="Cambria Math" w:cstheme="minorHAnsi"/>
              </w:rPr>
              <m:t>t</m:t>
            </m:r>
          </m:sub>
        </m:sSub>
        <m:r>
          <m:rPr>
            <m:sty m:val="p"/>
          </m:rPr>
          <w:rPr>
            <w:rFonts w:ascii="Cambria Math" w:hAnsi="Cambria Math" w:cstheme="minorHAnsi"/>
          </w:rPr>
          <m:t xml:space="preserve"> </m:t>
        </m:r>
      </m:oMath>
      <w:r w:rsidR="00193E2B">
        <w:rPr>
          <w:rFonts w:cstheme="minorHAnsi"/>
        </w:rPr>
        <w:t xml:space="preserve">and </w:t>
      </w:r>
      <m:oMath>
        <m:sSub>
          <m:sSubPr>
            <m:ctrlPr>
              <w:rPr>
                <w:rFonts w:ascii="Cambria Math" w:hAnsi="Cambria Math" w:cstheme="minorHAnsi"/>
              </w:rPr>
            </m:ctrlPr>
          </m:sSubPr>
          <m:e>
            <m:r>
              <w:rPr>
                <w:rFonts w:ascii="Cambria Math" w:hAnsi="Cambria Math" w:cstheme="minorHAnsi"/>
              </w:rPr>
              <m:t>τ</m:t>
            </m:r>
          </m:e>
          <m:sub>
            <m:r>
              <w:rPr>
                <w:rFonts w:ascii="Cambria Math" w:hAnsi="Cambria Math" w:cstheme="minorHAnsi"/>
              </w:rPr>
              <m:t>i</m:t>
            </m:r>
          </m:sub>
        </m:sSub>
      </m:oMath>
      <w:r w:rsidR="0006393F" w:rsidRPr="006D6416">
        <w:rPr>
          <w:rFonts w:cstheme="minorHAnsi"/>
        </w:rPr>
        <w:t xml:space="preserve"> </w:t>
      </w:r>
      <w:r w:rsidR="000C44AB">
        <w:rPr>
          <w:rFonts w:cstheme="minorHAnsi"/>
        </w:rPr>
        <w:t>controlled</w:t>
      </w:r>
      <w:r w:rsidR="0006393F" w:rsidRPr="006D6416">
        <w:rPr>
          <w:rFonts w:cstheme="minorHAnsi"/>
        </w:rPr>
        <w:t xml:space="preserve"> </w:t>
      </w:r>
      <w:r w:rsidR="00281436" w:rsidRPr="006D6416">
        <w:rPr>
          <w:rFonts w:cstheme="minorHAnsi"/>
        </w:rPr>
        <w:t>fixed effects for year</w:t>
      </w:r>
      <w:r w:rsidR="0006393F" w:rsidRPr="006D6416">
        <w:rPr>
          <w:rFonts w:cstheme="minorHAnsi"/>
        </w:rPr>
        <w:t>s</w:t>
      </w:r>
      <w:r w:rsidR="00281436" w:rsidRPr="006D6416">
        <w:rPr>
          <w:rFonts w:cstheme="minorHAnsi"/>
        </w:rPr>
        <w:t xml:space="preserve"> and hospitals. </w:t>
      </w:r>
    </w:p>
    <w:p w14:paraId="4E91E822" w14:textId="48318710" w:rsidR="00573F0B" w:rsidRPr="00573F0B" w:rsidRDefault="00E620F6" w:rsidP="00573F0B">
      <w:pPr>
        <w:jc w:val="both"/>
        <w:rPr>
          <w:rFonts w:cstheme="minorHAnsi"/>
          <w:b/>
          <w:highlight w:val="yellow"/>
        </w:rPr>
      </w:pPr>
      <w:r>
        <w:rPr>
          <w:rFonts w:cstheme="minorHAnsi"/>
          <w:color w:val="231F20"/>
        </w:rPr>
        <w:t xml:space="preserve">To avoid type II error for accepting the null hypothesis </w:t>
      </w:r>
      <w:r w:rsidRPr="003E6791">
        <w:rPr>
          <w:rFonts w:cstheme="minorHAnsi"/>
        </w:rPr>
        <w:t xml:space="preserve">incorrectly, I </w:t>
      </w:r>
      <w:r>
        <w:rPr>
          <w:rFonts w:cstheme="minorHAnsi"/>
        </w:rPr>
        <w:t xml:space="preserve">also </w:t>
      </w:r>
      <w:r w:rsidR="000C44AB" w:rsidRPr="003E6791">
        <w:rPr>
          <w:rFonts w:cstheme="minorHAnsi"/>
        </w:rPr>
        <w:t>conduct</w:t>
      </w:r>
      <w:r w:rsidR="000C44AB">
        <w:rPr>
          <w:rFonts w:cstheme="minorHAnsi"/>
        </w:rPr>
        <w:t>ed</w:t>
      </w:r>
      <w:r w:rsidRPr="003E6791">
        <w:rPr>
          <w:rFonts w:cstheme="minorHAnsi"/>
        </w:rPr>
        <w:t xml:space="preserve"> </w:t>
      </w:r>
      <w:r w:rsidRPr="004D61D0">
        <w:rPr>
          <w:rFonts w:cstheme="minorHAnsi"/>
          <w:b/>
        </w:rPr>
        <w:t>power calculation</w:t>
      </w:r>
      <w:r w:rsidRPr="003E6791">
        <w:rPr>
          <w:rStyle w:val="FootnoteReference"/>
          <w:rFonts w:cstheme="minorHAnsi"/>
        </w:rPr>
        <w:footnoteReference w:id="12"/>
      </w:r>
      <w:r w:rsidR="009A6864" w:rsidRPr="009A6864">
        <w:rPr>
          <w:rStyle w:val="FootnoteReference"/>
          <w:rFonts w:cstheme="minorHAnsi"/>
        </w:rPr>
        <w:footnoteReference w:id="13"/>
      </w:r>
      <w:r>
        <w:rPr>
          <w:rFonts w:cstheme="minorHAnsi"/>
          <w:color w:val="231F20"/>
        </w:rPr>
        <w:t xml:space="preserve">. With a probability of &lt;0.05 for a type I error and a power level of 0.9, </w:t>
      </w:r>
      <w:r w:rsidRPr="008B3C0A">
        <w:rPr>
          <w:rFonts w:cstheme="minorHAnsi"/>
          <w:color w:val="231F20"/>
        </w:rPr>
        <w:t>my sample size</w:t>
      </w:r>
      <w:r>
        <w:rPr>
          <w:rFonts w:cstheme="minorHAnsi"/>
          <w:color w:val="231F20"/>
        </w:rPr>
        <w:t>s</w:t>
      </w:r>
      <w:r w:rsidRPr="008B3C0A">
        <w:rPr>
          <w:rFonts w:cstheme="minorHAnsi"/>
          <w:color w:val="231F20"/>
        </w:rPr>
        <w:t xml:space="preserve"> </w:t>
      </w:r>
      <w:r w:rsidR="006F1CD0">
        <w:rPr>
          <w:rFonts w:cstheme="minorHAnsi"/>
          <w:color w:val="231F20"/>
        </w:rPr>
        <w:t>were</w:t>
      </w:r>
      <w:r w:rsidRPr="008B3C0A">
        <w:rPr>
          <w:rFonts w:cstheme="minorHAnsi"/>
          <w:color w:val="231F20"/>
        </w:rPr>
        <w:t xml:space="preserve"> large enough to detect difference</w:t>
      </w:r>
      <w:r>
        <w:rPr>
          <w:rFonts w:cstheme="minorHAnsi"/>
          <w:color w:val="231F20"/>
        </w:rPr>
        <w:t>s</w:t>
      </w:r>
      <w:r w:rsidRPr="008B3C0A">
        <w:rPr>
          <w:rFonts w:cstheme="minorHAnsi"/>
          <w:color w:val="231F20"/>
        </w:rPr>
        <w:t xml:space="preserve"> if it exist</w:t>
      </w:r>
      <w:r w:rsidR="000C44AB">
        <w:rPr>
          <w:rFonts w:cstheme="minorHAnsi"/>
          <w:color w:val="231F20"/>
        </w:rPr>
        <w:t>ed</w:t>
      </w:r>
      <w:r w:rsidRPr="008B3C0A">
        <w:rPr>
          <w:rFonts w:cstheme="minorHAnsi"/>
          <w:color w:val="231F20"/>
        </w:rPr>
        <w:t>.</w:t>
      </w:r>
    </w:p>
    <w:p w14:paraId="4E3F89A0" w14:textId="1A621A3C" w:rsidR="00115E1B" w:rsidRDefault="00115E1B" w:rsidP="00301D81">
      <w:pPr>
        <w:jc w:val="both"/>
        <w:rPr>
          <w:rFonts w:cstheme="minorHAnsi"/>
          <w:b/>
          <w:color w:val="FF0000"/>
          <w:sz w:val="44"/>
          <w:szCs w:val="44"/>
        </w:rPr>
      </w:pPr>
      <w:r w:rsidRPr="00115E1B">
        <w:rPr>
          <w:rFonts w:cstheme="minorHAnsi"/>
          <w:b/>
          <w:color w:val="FF0000"/>
          <w:sz w:val="44"/>
          <w:szCs w:val="44"/>
        </w:rPr>
        <w:t xml:space="preserve">Results </w:t>
      </w:r>
    </w:p>
    <w:p w14:paraId="44DE1DF3" w14:textId="30DAEDD5" w:rsidR="000526E9" w:rsidRPr="00437DC6" w:rsidRDefault="000526E9" w:rsidP="000526E9">
      <w:pPr>
        <w:jc w:val="both"/>
        <w:rPr>
          <w:rFonts w:cstheme="minorHAnsi"/>
          <w:b/>
        </w:rPr>
      </w:pPr>
      <w:r w:rsidRPr="00437DC6">
        <w:rPr>
          <w:rFonts w:cstheme="minorHAnsi"/>
          <w:b/>
        </w:rPr>
        <w:lastRenderedPageBreak/>
        <w:t>Geographic Analysis:</w:t>
      </w:r>
    </w:p>
    <w:p w14:paraId="3D7C0604" w14:textId="42F80AFD" w:rsidR="00301D81" w:rsidRDefault="00A43867" w:rsidP="00301D81">
      <w:pPr>
        <w:jc w:val="both"/>
        <w:rPr>
          <w:rFonts w:cstheme="minorHAnsi"/>
          <w:color w:val="231F20"/>
        </w:rPr>
      </w:pPr>
      <w:r>
        <w:rPr>
          <w:rFonts w:cstheme="minorHAnsi"/>
          <w:color w:val="231F20"/>
        </w:rPr>
        <w:t>Figure</w:t>
      </w:r>
      <w:r w:rsidR="00344432">
        <w:rPr>
          <w:rFonts w:cstheme="minorHAnsi"/>
          <w:color w:val="231F20"/>
        </w:rPr>
        <w:t xml:space="preserve"> 1 show</w:t>
      </w:r>
      <w:r w:rsidR="00B43A7A">
        <w:rPr>
          <w:rFonts w:cstheme="minorHAnsi"/>
          <w:color w:val="231F20"/>
        </w:rPr>
        <w:t>ed</w:t>
      </w:r>
      <w:r w:rsidR="00344432">
        <w:rPr>
          <w:rFonts w:cstheme="minorHAnsi"/>
          <w:color w:val="231F20"/>
        </w:rPr>
        <w:t xml:space="preserve"> four major metropolitan areas in Texas, covering most of independent freestanding EDs and satellite EDs. </w:t>
      </w:r>
      <w:r w:rsidR="00301D81" w:rsidRPr="006D6416">
        <w:rPr>
          <w:rFonts w:cstheme="minorHAnsi"/>
          <w:color w:val="231F20"/>
        </w:rPr>
        <w:t xml:space="preserve">Independent freestanding EDs and hospital satellite EDs </w:t>
      </w:r>
      <w:r w:rsidR="00B43A7A">
        <w:rPr>
          <w:rFonts w:cstheme="minorHAnsi"/>
          <w:color w:val="231F20"/>
        </w:rPr>
        <w:t>were</w:t>
      </w:r>
      <w:r w:rsidR="00301D81" w:rsidRPr="006D6416">
        <w:rPr>
          <w:rFonts w:cstheme="minorHAnsi"/>
          <w:color w:val="231F20"/>
        </w:rPr>
        <w:t xml:space="preserve"> clustered around major metropolitan centers such as Houston, Dallas-Fort Worth, San Antonio and Austin. </w:t>
      </w:r>
      <w:r w:rsidR="00301D81">
        <w:rPr>
          <w:rFonts w:cstheme="minorHAnsi"/>
          <w:color w:val="231F20"/>
        </w:rPr>
        <w:t xml:space="preserve">However, hospital-based ED </w:t>
      </w:r>
      <w:r w:rsidR="00B43A7A">
        <w:rPr>
          <w:rFonts w:cstheme="minorHAnsi"/>
          <w:color w:val="231F20"/>
        </w:rPr>
        <w:t>were</w:t>
      </w:r>
      <w:r w:rsidR="00301D81">
        <w:rPr>
          <w:rFonts w:cstheme="minorHAnsi"/>
          <w:color w:val="231F20"/>
        </w:rPr>
        <w:t xml:space="preserve"> scattered throughout the state.</w:t>
      </w:r>
      <w:r w:rsidR="004A2948">
        <w:rPr>
          <w:rFonts w:cstheme="minorHAnsi"/>
          <w:color w:val="231F20"/>
        </w:rPr>
        <w:t xml:space="preserve"> </w:t>
      </w:r>
      <w:r w:rsidR="00511E3A">
        <w:rPr>
          <w:rFonts w:cstheme="minorHAnsi"/>
          <w:color w:val="231F20"/>
        </w:rPr>
        <w:t xml:space="preserve">Most of the satellite EDs </w:t>
      </w:r>
      <w:r w:rsidR="00B43A7A">
        <w:rPr>
          <w:rFonts w:cstheme="minorHAnsi"/>
          <w:color w:val="231F20"/>
        </w:rPr>
        <w:t>were</w:t>
      </w:r>
      <w:r w:rsidR="00511E3A">
        <w:rPr>
          <w:rFonts w:cstheme="minorHAnsi"/>
          <w:color w:val="231F20"/>
        </w:rPr>
        <w:t xml:space="preserve"> built </w:t>
      </w:r>
      <w:r w:rsidR="00344432">
        <w:rPr>
          <w:rFonts w:cstheme="minorHAnsi"/>
          <w:color w:val="231F20"/>
        </w:rPr>
        <w:t xml:space="preserve">close to </w:t>
      </w:r>
      <w:r w:rsidR="00511E3A">
        <w:rPr>
          <w:rFonts w:cstheme="minorHAnsi"/>
          <w:color w:val="231F20"/>
        </w:rPr>
        <w:t xml:space="preserve">their parent hospitals. </w:t>
      </w:r>
    </w:p>
    <w:p w14:paraId="6C94CFB9" w14:textId="0113E4DF" w:rsidR="00E31008" w:rsidRPr="00A97C5A" w:rsidRDefault="00A43867" w:rsidP="00E31008">
      <w:pPr>
        <w:jc w:val="both"/>
        <w:rPr>
          <w:rFonts w:cstheme="minorHAnsi"/>
          <w:b/>
          <w:color w:val="231F20"/>
        </w:rPr>
      </w:pPr>
      <w:r>
        <w:rPr>
          <w:rFonts w:cstheme="minorHAnsi"/>
          <w:b/>
          <w:color w:val="231F20"/>
        </w:rPr>
        <w:t xml:space="preserve">Figure </w:t>
      </w:r>
      <w:r w:rsidR="00E31008" w:rsidRPr="00A97C5A">
        <w:rPr>
          <w:rFonts w:cstheme="minorHAnsi"/>
          <w:b/>
          <w:color w:val="231F20"/>
        </w:rPr>
        <w:t xml:space="preserve">1. Location of facilities providing emergency care in </w:t>
      </w:r>
      <w:r w:rsidR="00E31008" w:rsidRPr="00A6110C">
        <w:rPr>
          <w:rFonts w:cstheme="minorHAnsi"/>
          <w:b/>
          <w:color w:val="231F20"/>
        </w:rPr>
        <w:t>Texas, 201</w:t>
      </w:r>
      <w:r w:rsidR="006C2DE3" w:rsidRPr="00A6110C">
        <w:rPr>
          <w:rFonts w:cstheme="minorHAnsi"/>
          <w:b/>
          <w:color w:val="231F20"/>
        </w:rPr>
        <w:t>6</w:t>
      </w:r>
      <w:r w:rsidR="00C843E8">
        <w:rPr>
          <w:rFonts w:cstheme="minorHAnsi"/>
          <w:b/>
          <w:color w:val="231F20"/>
        </w:rPr>
        <w:t xml:space="preserve"> (ArcGIS)</w:t>
      </w:r>
    </w:p>
    <w:p w14:paraId="23F1DF86" w14:textId="77777777" w:rsidR="00E31008" w:rsidRDefault="00E31008" w:rsidP="00E31008">
      <w:pPr>
        <w:jc w:val="both"/>
        <w:rPr>
          <w:rFonts w:cstheme="minorHAnsi"/>
          <w:color w:val="231F20"/>
        </w:rPr>
      </w:pPr>
      <w:r>
        <w:rPr>
          <w:noProof/>
        </w:rPr>
        <w:drawing>
          <wp:inline distT="0" distB="0" distL="0" distR="0" wp14:anchorId="541C6274" wp14:editId="735AB90A">
            <wp:extent cx="2995565" cy="160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1105" cy="1620248"/>
                    </a:xfrm>
                    <a:prstGeom prst="rect">
                      <a:avLst/>
                    </a:prstGeom>
                  </pic:spPr>
                </pic:pic>
              </a:graphicData>
            </a:graphic>
          </wp:inline>
        </w:drawing>
      </w:r>
    </w:p>
    <w:p w14:paraId="4398272B" w14:textId="6C6CFB1F" w:rsidR="000526E9" w:rsidRDefault="00E31008" w:rsidP="000526E9">
      <w:pPr>
        <w:rPr>
          <w:rFonts w:cstheme="minorHAnsi"/>
          <w:color w:val="231F20"/>
          <w:sz w:val="18"/>
          <w:szCs w:val="18"/>
        </w:rPr>
      </w:pPr>
      <w:r w:rsidRPr="008A3C15">
        <w:rPr>
          <w:rFonts w:cstheme="minorHAnsi"/>
          <w:b/>
          <w:color w:val="231F20"/>
          <w:sz w:val="18"/>
          <w:szCs w:val="18"/>
        </w:rPr>
        <w:t>SOURCE</w:t>
      </w:r>
      <w:r w:rsidRPr="008A3C15">
        <w:rPr>
          <w:rFonts w:cstheme="minorHAnsi"/>
          <w:color w:val="231F20"/>
          <w:sz w:val="18"/>
          <w:szCs w:val="18"/>
        </w:rPr>
        <w:t xml:space="preserve">: Author’s analysis of data from the American Hospital Association and the Texas Department of State Health Services. </w:t>
      </w:r>
      <w:r w:rsidRPr="008A3C15">
        <w:rPr>
          <w:rFonts w:cstheme="minorHAnsi"/>
          <w:b/>
          <w:color w:val="231F20"/>
          <w:sz w:val="18"/>
          <w:szCs w:val="18"/>
        </w:rPr>
        <w:t>NOTE</w:t>
      </w:r>
      <w:r w:rsidRPr="008A3C15">
        <w:rPr>
          <w:rFonts w:cstheme="minorHAnsi"/>
          <w:color w:val="231F20"/>
          <w:sz w:val="18"/>
          <w:szCs w:val="18"/>
        </w:rPr>
        <w:t xml:space="preserve">: There were </w:t>
      </w:r>
      <w:r w:rsidR="00E57BFB">
        <w:rPr>
          <w:rFonts w:cstheme="minorHAnsi"/>
          <w:color w:val="231F20"/>
          <w:sz w:val="18"/>
          <w:szCs w:val="18"/>
        </w:rPr>
        <w:t>420</w:t>
      </w:r>
      <w:r w:rsidR="00301D81" w:rsidRPr="00301D81">
        <w:rPr>
          <w:rFonts w:cstheme="minorHAnsi"/>
          <w:color w:val="231F20"/>
          <w:sz w:val="18"/>
          <w:szCs w:val="18"/>
        </w:rPr>
        <w:t xml:space="preserve"> </w:t>
      </w:r>
      <w:r w:rsidRPr="008A3C15">
        <w:rPr>
          <w:rFonts w:cstheme="minorHAnsi"/>
          <w:color w:val="231F20"/>
          <w:sz w:val="18"/>
          <w:szCs w:val="18"/>
        </w:rPr>
        <w:t>hospital-based emergency departments</w:t>
      </w:r>
      <w:r w:rsidR="00193E2B">
        <w:rPr>
          <w:rFonts w:cstheme="minorHAnsi"/>
          <w:color w:val="231F20"/>
          <w:sz w:val="18"/>
          <w:szCs w:val="18"/>
        </w:rPr>
        <w:t xml:space="preserve"> (black dots)</w:t>
      </w:r>
      <w:r w:rsidRPr="008A3C15">
        <w:rPr>
          <w:rFonts w:cstheme="minorHAnsi"/>
          <w:color w:val="231F20"/>
          <w:sz w:val="18"/>
          <w:szCs w:val="18"/>
        </w:rPr>
        <w:t xml:space="preserve">, </w:t>
      </w:r>
      <w:r w:rsidR="00E57BFB">
        <w:rPr>
          <w:rFonts w:cstheme="minorHAnsi"/>
          <w:color w:val="231F20"/>
          <w:sz w:val="18"/>
          <w:szCs w:val="18"/>
        </w:rPr>
        <w:t>275</w:t>
      </w:r>
      <w:r w:rsidRPr="008A3C15">
        <w:rPr>
          <w:rFonts w:cstheme="minorHAnsi"/>
          <w:color w:val="231F20"/>
          <w:sz w:val="18"/>
          <w:szCs w:val="18"/>
        </w:rPr>
        <w:t xml:space="preserve"> independent freestanding</w:t>
      </w:r>
      <w:r w:rsidR="00193E2B">
        <w:rPr>
          <w:rFonts w:cstheme="minorHAnsi"/>
          <w:color w:val="231F20"/>
          <w:sz w:val="18"/>
          <w:szCs w:val="18"/>
        </w:rPr>
        <w:t xml:space="preserve"> emergency</w:t>
      </w:r>
      <w:r w:rsidRPr="008A3C15">
        <w:rPr>
          <w:rFonts w:cstheme="minorHAnsi"/>
          <w:color w:val="231F20"/>
          <w:sz w:val="18"/>
          <w:szCs w:val="18"/>
        </w:rPr>
        <w:t xml:space="preserve"> departments</w:t>
      </w:r>
      <w:r w:rsidR="00193E2B">
        <w:rPr>
          <w:rFonts w:cstheme="minorHAnsi"/>
          <w:color w:val="231F20"/>
          <w:sz w:val="18"/>
          <w:szCs w:val="18"/>
        </w:rPr>
        <w:t xml:space="preserve"> (red dots)</w:t>
      </w:r>
      <w:r w:rsidRPr="008A3C15">
        <w:rPr>
          <w:rFonts w:cstheme="minorHAnsi"/>
          <w:color w:val="231F20"/>
          <w:sz w:val="18"/>
          <w:szCs w:val="18"/>
        </w:rPr>
        <w:t xml:space="preserve">, and </w:t>
      </w:r>
      <w:r w:rsidR="00E57BFB">
        <w:rPr>
          <w:rFonts w:cstheme="minorHAnsi"/>
          <w:color w:val="231F20"/>
          <w:sz w:val="18"/>
          <w:szCs w:val="18"/>
        </w:rPr>
        <w:t>121</w:t>
      </w:r>
      <w:r w:rsidRPr="008A3C15">
        <w:rPr>
          <w:rFonts w:cstheme="minorHAnsi"/>
          <w:color w:val="231F20"/>
          <w:sz w:val="18"/>
          <w:szCs w:val="18"/>
        </w:rPr>
        <w:t xml:space="preserve"> hospital satellite emergency departments</w:t>
      </w:r>
      <w:r w:rsidR="00193E2B">
        <w:rPr>
          <w:rFonts w:cstheme="minorHAnsi"/>
          <w:color w:val="231F20"/>
          <w:sz w:val="18"/>
          <w:szCs w:val="18"/>
        </w:rPr>
        <w:t xml:space="preserve"> (blue dots)</w:t>
      </w:r>
      <w:r w:rsidR="00301D81">
        <w:rPr>
          <w:rFonts w:cstheme="minorHAnsi"/>
          <w:color w:val="231F20"/>
          <w:sz w:val="18"/>
          <w:szCs w:val="18"/>
        </w:rPr>
        <w:t xml:space="preserve"> in </w:t>
      </w:r>
      <w:r w:rsidR="00193E2B">
        <w:rPr>
          <w:rFonts w:cstheme="minorHAnsi"/>
          <w:color w:val="231F20"/>
          <w:sz w:val="18"/>
          <w:szCs w:val="18"/>
        </w:rPr>
        <w:t>my sample</w:t>
      </w:r>
      <w:r w:rsidRPr="008A3C15">
        <w:rPr>
          <w:rFonts w:cstheme="minorHAnsi"/>
          <w:color w:val="231F20"/>
          <w:sz w:val="18"/>
          <w:szCs w:val="18"/>
        </w:rPr>
        <w:t>.</w:t>
      </w:r>
      <w:r w:rsidR="00193E2B">
        <w:rPr>
          <w:rFonts w:cstheme="minorHAnsi"/>
          <w:color w:val="231F20"/>
          <w:sz w:val="18"/>
          <w:szCs w:val="18"/>
        </w:rPr>
        <w:t xml:space="preserve"> The grey areas are four biggest metropolitan areas in Texas, with the represented cities Dallas, Houston, Austin and San Antonio. </w:t>
      </w:r>
    </w:p>
    <w:p w14:paraId="183DCDC7" w14:textId="5E553962" w:rsidR="00AB7117" w:rsidRDefault="00AB7117" w:rsidP="00AB7117">
      <w:pPr>
        <w:jc w:val="both"/>
        <w:rPr>
          <w:rFonts w:cstheme="minorHAnsi"/>
          <w:color w:val="231F20"/>
        </w:rPr>
      </w:pPr>
      <w:r>
        <w:t xml:space="preserve">A total </w:t>
      </w:r>
      <w:r w:rsidR="00B43A7A">
        <w:t>288</w:t>
      </w:r>
      <w:r>
        <w:t xml:space="preserve"> </w:t>
      </w:r>
      <w:r w:rsidR="005D455F">
        <w:t xml:space="preserve">independent freestanding EDs </w:t>
      </w:r>
      <w:r>
        <w:t>opened in Texas between 2010 and 201</w:t>
      </w:r>
      <w:r w:rsidR="00B964F3">
        <w:t>6</w:t>
      </w:r>
      <w:r>
        <w:t xml:space="preserve">, and </w:t>
      </w:r>
      <w:r w:rsidR="00B43A7A">
        <w:t>68</w:t>
      </w:r>
      <w:r>
        <w:t xml:space="preserve"> </w:t>
      </w:r>
      <w:r w:rsidR="005D455F">
        <w:t xml:space="preserve">independent freestanding EDs </w:t>
      </w:r>
      <w:r>
        <w:t xml:space="preserve">had closed </w:t>
      </w:r>
      <w:r>
        <w:rPr>
          <w:rFonts w:hint="eastAsia"/>
        </w:rPr>
        <w:t>bef</w:t>
      </w:r>
      <w:r>
        <w:t>ore the end of 201</w:t>
      </w:r>
      <w:r w:rsidR="00B964F3">
        <w:t>6</w:t>
      </w:r>
      <w:r>
        <w:t xml:space="preserve">. </w:t>
      </w:r>
      <w:r>
        <w:rPr>
          <w:rFonts w:cstheme="minorHAnsi"/>
          <w:color w:val="231F20"/>
        </w:rPr>
        <w:t xml:space="preserve">Independent freestanding ED </w:t>
      </w:r>
      <w:r>
        <w:t>exploded</w:t>
      </w:r>
      <w:r>
        <w:rPr>
          <w:rFonts w:cstheme="minorHAnsi"/>
          <w:color w:val="231F20"/>
        </w:rPr>
        <w:t xml:space="preserve"> in Texas </w:t>
      </w:r>
      <w:r w:rsidR="00E57BFB">
        <w:rPr>
          <w:rFonts w:cstheme="minorHAnsi"/>
          <w:color w:val="231F20"/>
        </w:rPr>
        <w:t>between</w:t>
      </w:r>
      <w:r>
        <w:rPr>
          <w:rFonts w:cstheme="minorHAnsi"/>
          <w:color w:val="231F20"/>
        </w:rPr>
        <w:t xml:space="preserve"> 2014</w:t>
      </w:r>
      <w:r w:rsidR="00E57BFB">
        <w:rPr>
          <w:rFonts w:cstheme="minorHAnsi"/>
          <w:color w:val="231F20"/>
        </w:rPr>
        <w:t xml:space="preserve"> and 2016</w:t>
      </w:r>
      <w:r w:rsidR="002C22D1">
        <w:rPr>
          <w:rFonts w:cstheme="minorHAnsi"/>
          <w:color w:val="231F20"/>
        </w:rPr>
        <w:t xml:space="preserve"> </w:t>
      </w:r>
      <w:r w:rsidR="00E57BFB">
        <w:rPr>
          <w:rFonts w:cstheme="minorHAnsi"/>
          <w:color w:val="231F20"/>
        </w:rPr>
        <w:t xml:space="preserve">(Table </w:t>
      </w:r>
      <w:r w:rsidR="00A43867">
        <w:rPr>
          <w:rFonts w:cstheme="minorHAnsi"/>
          <w:color w:val="231F20"/>
        </w:rPr>
        <w:t>1 and Appendix Figure 1</w:t>
      </w:r>
      <w:r w:rsidR="00E57BFB">
        <w:rPr>
          <w:rFonts w:cstheme="minorHAnsi"/>
          <w:color w:val="231F20"/>
        </w:rPr>
        <w:t>)</w:t>
      </w:r>
      <w:r>
        <w:rPr>
          <w:rFonts w:cstheme="minorHAnsi"/>
          <w:color w:val="231F20"/>
        </w:rPr>
        <w:t xml:space="preserve">. Though satellite EDs were available before the licensing Act in Texas, the booming of independent freestanding EDs also brought development and </w:t>
      </w:r>
      <w:r w:rsidRPr="00F715E4">
        <w:rPr>
          <w:rFonts w:cstheme="minorHAnsi"/>
          <w:color w:val="231F20"/>
        </w:rPr>
        <w:t>prosperity</w:t>
      </w:r>
      <w:r>
        <w:rPr>
          <w:rFonts w:cstheme="minorHAnsi"/>
          <w:color w:val="231F20"/>
        </w:rPr>
        <w:t xml:space="preserve"> </w:t>
      </w:r>
      <w:r>
        <w:rPr>
          <w:rFonts w:cstheme="minorHAnsi" w:hint="eastAsia"/>
          <w:color w:val="231F20"/>
        </w:rPr>
        <w:t>o</w:t>
      </w:r>
      <w:r>
        <w:rPr>
          <w:rFonts w:cstheme="minorHAnsi"/>
          <w:color w:val="231F20"/>
        </w:rPr>
        <w:t xml:space="preserve">f satellite EDs in this industry. Over </w:t>
      </w:r>
      <w:r w:rsidR="006F1CD0">
        <w:rPr>
          <w:rFonts w:cstheme="minorHAnsi"/>
          <w:color w:val="231F20"/>
        </w:rPr>
        <w:t>100</w:t>
      </w:r>
      <w:r>
        <w:rPr>
          <w:rFonts w:cstheme="minorHAnsi"/>
          <w:color w:val="231F20"/>
        </w:rPr>
        <w:t xml:space="preserve"> new satellite EDs were </w:t>
      </w:r>
      <w:r w:rsidR="00B964F3">
        <w:rPr>
          <w:rFonts w:cstheme="minorHAnsi"/>
          <w:color w:val="231F20"/>
        </w:rPr>
        <w:t>set up</w:t>
      </w:r>
      <w:r>
        <w:rPr>
          <w:rFonts w:cstheme="minorHAnsi"/>
          <w:color w:val="231F20"/>
        </w:rPr>
        <w:t xml:space="preserve"> between 2010 and 201</w:t>
      </w:r>
      <w:r w:rsidR="00B964F3">
        <w:rPr>
          <w:rFonts w:cstheme="minorHAnsi"/>
          <w:color w:val="231F20"/>
        </w:rPr>
        <w:t>6</w:t>
      </w:r>
      <w:r w:rsidR="00E57BFB">
        <w:rPr>
          <w:rFonts w:cstheme="minorHAnsi"/>
          <w:color w:val="231F20"/>
        </w:rPr>
        <w:t>.</w:t>
      </w:r>
    </w:p>
    <w:p w14:paraId="624C0313" w14:textId="40CA6F7D" w:rsidR="00AB7117" w:rsidRPr="00602742" w:rsidRDefault="00AB7117" w:rsidP="00AB7117">
      <w:pPr>
        <w:jc w:val="both"/>
        <w:rPr>
          <w:rFonts w:cstheme="minorHAnsi"/>
          <w:b/>
          <w:color w:val="231F20"/>
        </w:rPr>
      </w:pPr>
      <w:r w:rsidRPr="00602742">
        <w:rPr>
          <w:b/>
        </w:rPr>
        <w:t xml:space="preserve">Table </w:t>
      </w:r>
      <w:r w:rsidR="00A43867">
        <w:rPr>
          <w:b/>
        </w:rPr>
        <w:t>1</w:t>
      </w:r>
      <w:r w:rsidRPr="00602742">
        <w:rPr>
          <w:b/>
        </w:rPr>
        <w:t xml:space="preserve">. Numbers of </w:t>
      </w:r>
      <w:r w:rsidR="00657F39">
        <w:rPr>
          <w:b/>
        </w:rPr>
        <w:t>h</w:t>
      </w:r>
      <w:r w:rsidRPr="00602742">
        <w:rPr>
          <w:b/>
        </w:rPr>
        <w:t>ospital-based</w:t>
      </w:r>
      <w:r w:rsidR="00657F39">
        <w:rPr>
          <w:b/>
        </w:rPr>
        <w:t xml:space="preserve"> emergency department</w:t>
      </w:r>
      <w:r w:rsidRPr="00602742">
        <w:rPr>
          <w:b/>
        </w:rPr>
        <w:t xml:space="preserve">s and </w:t>
      </w:r>
      <w:r w:rsidR="00657F39">
        <w:rPr>
          <w:b/>
        </w:rPr>
        <w:t>f</w:t>
      </w:r>
      <w:r w:rsidRPr="00602742">
        <w:rPr>
          <w:b/>
        </w:rPr>
        <w:t xml:space="preserve">reestanding </w:t>
      </w:r>
      <w:r w:rsidR="00657F39">
        <w:rPr>
          <w:b/>
        </w:rPr>
        <w:t>emergency department</w:t>
      </w:r>
      <w:r w:rsidR="00657F39" w:rsidRPr="00602742">
        <w:rPr>
          <w:b/>
        </w:rPr>
        <w:t xml:space="preserve">s </w:t>
      </w:r>
      <w:r w:rsidRPr="00602742">
        <w:rPr>
          <w:b/>
        </w:rPr>
        <w:t xml:space="preserve">from 2010 to </w:t>
      </w:r>
      <w:r w:rsidR="00AC5251" w:rsidRPr="00657F39">
        <w:rPr>
          <w:b/>
        </w:rPr>
        <w:t>201</w:t>
      </w:r>
      <w:r w:rsidR="00CF4CB8" w:rsidRPr="00657F39">
        <w:rPr>
          <w:b/>
        </w:rPr>
        <w:t>6</w:t>
      </w:r>
    </w:p>
    <w:tbl>
      <w:tblPr>
        <w:tblStyle w:val="ListTable6Colorful-Accent3"/>
        <w:tblW w:w="0" w:type="auto"/>
        <w:tblLook w:val="04A0" w:firstRow="1" w:lastRow="0" w:firstColumn="1" w:lastColumn="0" w:noHBand="0" w:noVBand="1"/>
      </w:tblPr>
      <w:tblGrid>
        <w:gridCol w:w="1615"/>
        <w:gridCol w:w="1890"/>
        <w:gridCol w:w="1890"/>
        <w:gridCol w:w="1890"/>
        <w:gridCol w:w="1890"/>
      </w:tblGrid>
      <w:tr w:rsidR="00A245F7" w14:paraId="75A63E35" w14:textId="77777777" w:rsidTr="00B71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AF7016" w14:textId="0694EDA5" w:rsidR="00A245F7" w:rsidRDefault="00A245F7" w:rsidP="00AB7117">
            <w:pPr>
              <w:tabs>
                <w:tab w:val="center" w:pos="1108"/>
              </w:tabs>
            </w:pPr>
            <w:r>
              <w:t>Year</w:t>
            </w:r>
          </w:p>
        </w:tc>
        <w:tc>
          <w:tcPr>
            <w:tcW w:w="1890" w:type="dxa"/>
          </w:tcPr>
          <w:p w14:paraId="7D6BE304" w14:textId="0409CC88"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Hospital EDs</w:t>
            </w:r>
          </w:p>
        </w:tc>
        <w:tc>
          <w:tcPr>
            <w:tcW w:w="1890" w:type="dxa"/>
          </w:tcPr>
          <w:p w14:paraId="78BBDE98" w14:textId="2922BCED"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 xml:space="preserve">Hospital EDs with </w:t>
            </w:r>
            <w:r>
              <w:rPr>
                <w:rFonts w:hint="eastAsia"/>
              </w:rPr>
              <w:t>visi</w:t>
            </w:r>
            <w:r>
              <w:t xml:space="preserve">ts&gt;100 </w:t>
            </w:r>
          </w:p>
        </w:tc>
        <w:tc>
          <w:tcPr>
            <w:tcW w:w="1890" w:type="dxa"/>
          </w:tcPr>
          <w:p w14:paraId="2EF1075E" w14:textId="70689F80"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Independent freestanding EDs</w:t>
            </w:r>
          </w:p>
        </w:tc>
        <w:tc>
          <w:tcPr>
            <w:tcW w:w="1890" w:type="dxa"/>
          </w:tcPr>
          <w:p w14:paraId="6FB45ED0" w14:textId="77777777" w:rsidR="00A245F7" w:rsidRDefault="00A245F7" w:rsidP="00AB7117">
            <w:pPr>
              <w:jc w:val="center"/>
              <w:cnfStyle w:val="100000000000" w:firstRow="1" w:lastRow="0" w:firstColumn="0" w:lastColumn="0" w:oddVBand="0" w:evenVBand="0" w:oddHBand="0" w:evenHBand="0" w:firstRowFirstColumn="0" w:firstRowLastColumn="0" w:lastRowFirstColumn="0" w:lastRowLastColumn="0"/>
            </w:pPr>
            <w:r>
              <w:t>Hospital Satellite EDs</w:t>
            </w:r>
          </w:p>
        </w:tc>
      </w:tr>
      <w:tr w:rsidR="00A245F7" w14:paraId="18729101" w14:textId="77777777" w:rsidTr="00B7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C7D5FCB" w14:textId="3A157601" w:rsidR="00A245F7" w:rsidRDefault="00A245F7" w:rsidP="00AB7117">
            <w:pPr>
              <w:rPr>
                <w:rFonts w:cstheme="minorHAnsi"/>
                <w:color w:val="231F20"/>
              </w:rPr>
            </w:pPr>
            <w:r>
              <w:rPr>
                <w:rFonts w:cstheme="minorHAnsi"/>
                <w:color w:val="231F20"/>
              </w:rPr>
              <w:t>2010</w:t>
            </w:r>
          </w:p>
        </w:tc>
        <w:tc>
          <w:tcPr>
            <w:tcW w:w="1890" w:type="dxa"/>
          </w:tcPr>
          <w:p w14:paraId="50D0DE2A" w14:textId="50F3D48D"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431</w:t>
            </w:r>
          </w:p>
        </w:tc>
        <w:tc>
          <w:tcPr>
            <w:tcW w:w="1890" w:type="dxa"/>
          </w:tcPr>
          <w:p w14:paraId="63FFBD28" w14:textId="2289B21C"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409</w:t>
            </w:r>
          </w:p>
        </w:tc>
        <w:tc>
          <w:tcPr>
            <w:tcW w:w="1890" w:type="dxa"/>
          </w:tcPr>
          <w:p w14:paraId="77E7CEEA" w14:textId="5A57590A"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22</w:t>
            </w:r>
          </w:p>
        </w:tc>
        <w:tc>
          <w:tcPr>
            <w:tcW w:w="1890" w:type="dxa"/>
          </w:tcPr>
          <w:p w14:paraId="12F9E929" w14:textId="31D0E3D4"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12</w:t>
            </w:r>
          </w:p>
        </w:tc>
      </w:tr>
      <w:tr w:rsidR="00A245F7" w14:paraId="6FECAD7B" w14:textId="77777777" w:rsidTr="00B7119C">
        <w:tc>
          <w:tcPr>
            <w:cnfStyle w:val="001000000000" w:firstRow="0" w:lastRow="0" w:firstColumn="1" w:lastColumn="0" w:oddVBand="0" w:evenVBand="0" w:oddHBand="0" w:evenHBand="0" w:firstRowFirstColumn="0" w:firstRowLastColumn="0" w:lastRowFirstColumn="0" w:lastRowLastColumn="0"/>
            <w:tcW w:w="1615" w:type="dxa"/>
          </w:tcPr>
          <w:p w14:paraId="7E31954C" w14:textId="3B18D7DA" w:rsidR="00A245F7" w:rsidRDefault="00A245F7" w:rsidP="00AB7117">
            <w:pPr>
              <w:rPr>
                <w:rFonts w:cstheme="minorHAnsi"/>
                <w:color w:val="231F20"/>
              </w:rPr>
            </w:pPr>
            <w:r>
              <w:rPr>
                <w:rFonts w:cstheme="minorHAnsi"/>
                <w:color w:val="231F20"/>
              </w:rPr>
              <w:t>2011</w:t>
            </w:r>
          </w:p>
        </w:tc>
        <w:tc>
          <w:tcPr>
            <w:tcW w:w="1890" w:type="dxa"/>
          </w:tcPr>
          <w:p w14:paraId="4F397ED1" w14:textId="1F40DA0E"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427</w:t>
            </w:r>
          </w:p>
        </w:tc>
        <w:tc>
          <w:tcPr>
            <w:tcW w:w="1890" w:type="dxa"/>
          </w:tcPr>
          <w:p w14:paraId="1493F173" w14:textId="40C529EA"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407</w:t>
            </w:r>
          </w:p>
        </w:tc>
        <w:tc>
          <w:tcPr>
            <w:tcW w:w="1890" w:type="dxa"/>
          </w:tcPr>
          <w:p w14:paraId="6BC2FBA7" w14:textId="65089047"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28</w:t>
            </w:r>
          </w:p>
        </w:tc>
        <w:tc>
          <w:tcPr>
            <w:tcW w:w="1890" w:type="dxa"/>
          </w:tcPr>
          <w:p w14:paraId="323D2CCE" w14:textId="49CF76FB"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20</w:t>
            </w:r>
          </w:p>
        </w:tc>
      </w:tr>
      <w:tr w:rsidR="00A245F7" w14:paraId="6B03CE8D" w14:textId="77777777" w:rsidTr="00B7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5C82EEF" w14:textId="780B49D2" w:rsidR="00A245F7" w:rsidRDefault="00A245F7" w:rsidP="00AB7117">
            <w:pPr>
              <w:rPr>
                <w:rFonts w:cstheme="minorHAnsi"/>
                <w:color w:val="231F20"/>
              </w:rPr>
            </w:pPr>
            <w:r>
              <w:rPr>
                <w:rFonts w:cstheme="minorHAnsi"/>
                <w:color w:val="231F20"/>
              </w:rPr>
              <w:t>2012</w:t>
            </w:r>
          </w:p>
        </w:tc>
        <w:tc>
          <w:tcPr>
            <w:tcW w:w="1890" w:type="dxa"/>
          </w:tcPr>
          <w:p w14:paraId="4BBD6C5A" w14:textId="70E71451"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427</w:t>
            </w:r>
          </w:p>
        </w:tc>
        <w:tc>
          <w:tcPr>
            <w:tcW w:w="1890" w:type="dxa"/>
          </w:tcPr>
          <w:p w14:paraId="1A0952CF" w14:textId="634D12A5"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408</w:t>
            </w:r>
          </w:p>
        </w:tc>
        <w:tc>
          <w:tcPr>
            <w:tcW w:w="1890" w:type="dxa"/>
          </w:tcPr>
          <w:p w14:paraId="3CF29741" w14:textId="0AA293B6"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52</w:t>
            </w:r>
          </w:p>
        </w:tc>
        <w:tc>
          <w:tcPr>
            <w:tcW w:w="1890" w:type="dxa"/>
          </w:tcPr>
          <w:p w14:paraId="41A17B4B" w14:textId="254D537A"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31</w:t>
            </w:r>
          </w:p>
        </w:tc>
      </w:tr>
      <w:tr w:rsidR="00A245F7" w14:paraId="66B65800" w14:textId="77777777" w:rsidTr="00B7119C">
        <w:tc>
          <w:tcPr>
            <w:cnfStyle w:val="001000000000" w:firstRow="0" w:lastRow="0" w:firstColumn="1" w:lastColumn="0" w:oddVBand="0" w:evenVBand="0" w:oddHBand="0" w:evenHBand="0" w:firstRowFirstColumn="0" w:firstRowLastColumn="0" w:lastRowFirstColumn="0" w:lastRowLastColumn="0"/>
            <w:tcW w:w="1615" w:type="dxa"/>
          </w:tcPr>
          <w:p w14:paraId="0C17DD0E" w14:textId="5BB108E0" w:rsidR="00A245F7" w:rsidRDefault="00A245F7" w:rsidP="00AB7117">
            <w:pPr>
              <w:rPr>
                <w:rFonts w:cstheme="minorHAnsi"/>
                <w:color w:val="231F20"/>
              </w:rPr>
            </w:pPr>
            <w:r>
              <w:rPr>
                <w:rFonts w:cstheme="minorHAnsi"/>
                <w:color w:val="231F20"/>
              </w:rPr>
              <w:t>2013</w:t>
            </w:r>
          </w:p>
        </w:tc>
        <w:tc>
          <w:tcPr>
            <w:tcW w:w="1890" w:type="dxa"/>
          </w:tcPr>
          <w:p w14:paraId="0A880FDF" w14:textId="78E6D42E"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426</w:t>
            </w:r>
          </w:p>
        </w:tc>
        <w:tc>
          <w:tcPr>
            <w:tcW w:w="1890" w:type="dxa"/>
          </w:tcPr>
          <w:p w14:paraId="7A4D8055" w14:textId="31FE16D3"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410</w:t>
            </w:r>
          </w:p>
        </w:tc>
        <w:tc>
          <w:tcPr>
            <w:tcW w:w="1890" w:type="dxa"/>
          </w:tcPr>
          <w:p w14:paraId="20D590D1" w14:textId="72BA90AF"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88</w:t>
            </w:r>
          </w:p>
        </w:tc>
        <w:tc>
          <w:tcPr>
            <w:tcW w:w="1890" w:type="dxa"/>
          </w:tcPr>
          <w:p w14:paraId="3C215B3F" w14:textId="61181F51"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39</w:t>
            </w:r>
          </w:p>
        </w:tc>
      </w:tr>
      <w:tr w:rsidR="00A245F7" w14:paraId="6FDA6F21" w14:textId="77777777" w:rsidTr="00B7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AE937" w14:textId="74312731" w:rsidR="00A245F7" w:rsidRDefault="00A245F7" w:rsidP="00AB7117">
            <w:pPr>
              <w:rPr>
                <w:rFonts w:cstheme="minorHAnsi"/>
                <w:color w:val="231F20"/>
              </w:rPr>
            </w:pPr>
            <w:r>
              <w:rPr>
                <w:rFonts w:cstheme="minorHAnsi"/>
                <w:color w:val="231F20"/>
              </w:rPr>
              <w:t>2014</w:t>
            </w:r>
          </w:p>
        </w:tc>
        <w:tc>
          <w:tcPr>
            <w:tcW w:w="1890" w:type="dxa"/>
          </w:tcPr>
          <w:p w14:paraId="46B1CE6D" w14:textId="30D15143"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422</w:t>
            </w:r>
          </w:p>
        </w:tc>
        <w:tc>
          <w:tcPr>
            <w:tcW w:w="1890" w:type="dxa"/>
          </w:tcPr>
          <w:p w14:paraId="034166D9" w14:textId="5095A65C"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408</w:t>
            </w:r>
          </w:p>
        </w:tc>
        <w:tc>
          <w:tcPr>
            <w:tcW w:w="1890" w:type="dxa"/>
          </w:tcPr>
          <w:p w14:paraId="2E4917B8" w14:textId="0A413957"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139</w:t>
            </w:r>
          </w:p>
        </w:tc>
        <w:tc>
          <w:tcPr>
            <w:tcW w:w="1890" w:type="dxa"/>
          </w:tcPr>
          <w:p w14:paraId="451FCBCE" w14:textId="55249B85"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48</w:t>
            </w:r>
          </w:p>
        </w:tc>
      </w:tr>
      <w:tr w:rsidR="00A245F7" w14:paraId="5A6CBF65" w14:textId="77777777" w:rsidTr="00B7119C">
        <w:tc>
          <w:tcPr>
            <w:cnfStyle w:val="001000000000" w:firstRow="0" w:lastRow="0" w:firstColumn="1" w:lastColumn="0" w:oddVBand="0" w:evenVBand="0" w:oddHBand="0" w:evenHBand="0" w:firstRowFirstColumn="0" w:firstRowLastColumn="0" w:lastRowFirstColumn="0" w:lastRowLastColumn="0"/>
            <w:tcW w:w="1615" w:type="dxa"/>
          </w:tcPr>
          <w:p w14:paraId="6C752A5D" w14:textId="3BAAA0A1" w:rsidR="00A245F7" w:rsidRDefault="00A245F7" w:rsidP="00AB7117">
            <w:pPr>
              <w:rPr>
                <w:rFonts w:cstheme="minorHAnsi"/>
                <w:color w:val="231F20"/>
              </w:rPr>
            </w:pPr>
            <w:r>
              <w:rPr>
                <w:rFonts w:cstheme="minorHAnsi"/>
                <w:color w:val="231F20"/>
              </w:rPr>
              <w:t>2015</w:t>
            </w:r>
          </w:p>
        </w:tc>
        <w:tc>
          <w:tcPr>
            <w:tcW w:w="1890" w:type="dxa"/>
          </w:tcPr>
          <w:p w14:paraId="65E71750" w14:textId="5E015996"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417</w:t>
            </w:r>
          </w:p>
        </w:tc>
        <w:tc>
          <w:tcPr>
            <w:tcW w:w="1890" w:type="dxa"/>
          </w:tcPr>
          <w:p w14:paraId="1ED994C4" w14:textId="3E43C8B1"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401</w:t>
            </w:r>
          </w:p>
        </w:tc>
        <w:tc>
          <w:tcPr>
            <w:tcW w:w="1890" w:type="dxa"/>
          </w:tcPr>
          <w:p w14:paraId="6D7636B2" w14:textId="7F1334B2"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208</w:t>
            </w:r>
          </w:p>
        </w:tc>
        <w:tc>
          <w:tcPr>
            <w:tcW w:w="1890" w:type="dxa"/>
          </w:tcPr>
          <w:p w14:paraId="6B1D3450" w14:textId="5A8D178B" w:rsidR="00A245F7" w:rsidRDefault="00A245F7" w:rsidP="00AB711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66</w:t>
            </w:r>
          </w:p>
        </w:tc>
      </w:tr>
      <w:tr w:rsidR="00A245F7" w14:paraId="02A2371E" w14:textId="77777777" w:rsidTr="00B7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919F75" w14:textId="7E43C07E" w:rsidR="00A245F7" w:rsidRDefault="00A245F7" w:rsidP="00AB7117">
            <w:pPr>
              <w:rPr>
                <w:rFonts w:cstheme="minorHAnsi"/>
                <w:color w:val="231F20"/>
              </w:rPr>
            </w:pPr>
            <w:r>
              <w:rPr>
                <w:rFonts w:cstheme="minorHAnsi"/>
                <w:color w:val="231F20"/>
              </w:rPr>
              <w:t>2016</w:t>
            </w:r>
          </w:p>
        </w:tc>
        <w:tc>
          <w:tcPr>
            <w:tcW w:w="1890" w:type="dxa"/>
          </w:tcPr>
          <w:p w14:paraId="149F1FBA" w14:textId="2A6DA49C"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420</w:t>
            </w:r>
          </w:p>
        </w:tc>
        <w:tc>
          <w:tcPr>
            <w:tcW w:w="1890" w:type="dxa"/>
          </w:tcPr>
          <w:p w14:paraId="03FD2BCB" w14:textId="7CCF8C1B"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404</w:t>
            </w:r>
          </w:p>
        </w:tc>
        <w:tc>
          <w:tcPr>
            <w:tcW w:w="1890" w:type="dxa"/>
          </w:tcPr>
          <w:p w14:paraId="3790DC57" w14:textId="1C2CF69A"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275</w:t>
            </w:r>
          </w:p>
        </w:tc>
        <w:tc>
          <w:tcPr>
            <w:tcW w:w="1890" w:type="dxa"/>
          </w:tcPr>
          <w:p w14:paraId="4B61D12B" w14:textId="0C0727ED" w:rsidR="00A245F7" w:rsidRDefault="00A245F7" w:rsidP="00AB711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sidRPr="00E57BFB">
              <w:rPr>
                <w:rFonts w:cstheme="minorHAnsi"/>
                <w:color w:val="231F20"/>
              </w:rPr>
              <w:t>121</w:t>
            </w:r>
          </w:p>
        </w:tc>
      </w:tr>
    </w:tbl>
    <w:p w14:paraId="2A4DFABF" w14:textId="718031E5" w:rsidR="00AB7117" w:rsidRPr="00CF4CB8" w:rsidRDefault="00CF4CB8" w:rsidP="00AB7117">
      <w:pPr>
        <w:jc w:val="both"/>
        <w:rPr>
          <w:rFonts w:cstheme="minorHAnsi"/>
          <w:color w:val="231F20"/>
          <w:sz w:val="18"/>
          <w:szCs w:val="18"/>
        </w:rPr>
      </w:pPr>
      <w:r w:rsidRPr="00CF4CB8">
        <w:rPr>
          <w:rFonts w:cstheme="minorHAnsi"/>
          <w:b/>
          <w:color w:val="231F20"/>
          <w:sz w:val="18"/>
          <w:szCs w:val="18"/>
        </w:rPr>
        <w:t>Note:</w:t>
      </w:r>
      <w:r w:rsidRPr="00CF4CB8">
        <w:rPr>
          <w:rFonts w:cstheme="minorHAnsi"/>
          <w:color w:val="231F20"/>
          <w:sz w:val="18"/>
          <w:szCs w:val="18"/>
        </w:rPr>
        <w:t xml:space="preserve"> The </w:t>
      </w:r>
      <w:r>
        <w:rPr>
          <w:rFonts w:cstheme="minorHAnsi"/>
          <w:color w:val="231F20"/>
          <w:sz w:val="18"/>
          <w:szCs w:val="18"/>
        </w:rPr>
        <w:t xml:space="preserve">number of Independent </w:t>
      </w:r>
      <w:r w:rsidR="009475B3">
        <w:rPr>
          <w:rFonts w:cstheme="minorHAnsi"/>
          <w:color w:val="231F20"/>
          <w:sz w:val="18"/>
          <w:szCs w:val="18"/>
        </w:rPr>
        <w:t>freestanding EDs</w:t>
      </w:r>
      <w:r>
        <w:rPr>
          <w:rFonts w:cstheme="minorHAnsi"/>
          <w:color w:val="231F20"/>
          <w:sz w:val="18"/>
          <w:szCs w:val="18"/>
        </w:rPr>
        <w:t xml:space="preserve"> and Hospital Satellite EDs </w:t>
      </w:r>
    </w:p>
    <w:p w14:paraId="182FD968" w14:textId="2B6E8E74" w:rsidR="000526E9" w:rsidRPr="00437DC6" w:rsidRDefault="00511E3A" w:rsidP="000526E9">
      <w:pPr>
        <w:jc w:val="both"/>
        <w:rPr>
          <w:rFonts w:cstheme="minorHAnsi"/>
          <w:b/>
        </w:rPr>
      </w:pPr>
      <w:r w:rsidRPr="00437DC6">
        <w:rPr>
          <w:rFonts w:cstheme="minorHAnsi"/>
          <w:b/>
        </w:rPr>
        <w:t xml:space="preserve">Descriptive </w:t>
      </w:r>
      <w:r w:rsidR="000526E9" w:rsidRPr="00437DC6">
        <w:rPr>
          <w:rFonts w:cstheme="minorHAnsi"/>
          <w:b/>
        </w:rPr>
        <w:t>Analysis:</w:t>
      </w:r>
    </w:p>
    <w:p w14:paraId="23AEF7E6" w14:textId="065C2AC8" w:rsidR="002A1090" w:rsidRPr="00A6110C" w:rsidRDefault="00E31008" w:rsidP="00E31008">
      <w:pPr>
        <w:jc w:val="both"/>
        <w:rPr>
          <w:rFonts w:cstheme="minorHAnsi"/>
          <w:color w:val="231F20"/>
        </w:rPr>
      </w:pPr>
      <w:r>
        <w:rPr>
          <w:rFonts w:cstheme="minorHAnsi"/>
          <w:color w:val="231F20"/>
        </w:rPr>
        <w:t xml:space="preserve">The descriptive statistics in Table </w:t>
      </w:r>
      <w:r w:rsidR="00A43867">
        <w:rPr>
          <w:rFonts w:cstheme="minorHAnsi"/>
          <w:color w:val="231F20"/>
        </w:rPr>
        <w:t>2</w:t>
      </w:r>
      <w:r>
        <w:rPr>
          <w:rFonts w:cstheme="minorHAnsi"/>
          <w:color w:val="231F20"/>
        </w:rPr>
        <w:t xml:space="preserve"> demonstrate</w:t>
      </w:r>
      <w:r w:rsidR="002C22D1">
        <w:rPr>
          <w:rFonts w:cstheme="minorHAnsi"/>
          <w:color w:val="231F20"/>
        </w:rPr>
        <w:t>d</w:t>
      </w:r>
      <w:r>
        <w:rPr>
          <w:rFonts w:cstheme="minorHAnsi"/>
          <w:color w:val="231F20"/>
        </w:rPr>
        <w:t xml:space="preserve"> that </w:t>
      </w:r>
      <w:r w:rsidR="00602742">
        <w:rPr>
          <w:rFonts w:cstheme="minorHAnsi"/>
          <w:color w:val="231F20"/>
        </w:rPr>
        <w:t>average hospital-based</w:t>
      </w:r>
      <w:r>
        <w:rPr>
          <w:rFonts w:cstheme="minorHAnsi"/>
          <w:color w:val="231F20"/>
        </w:rPr>
        <w:t xml:space="preserve"> </w:t>
      </w:r>
      <w:r w:rsidR="00602742">
        <w:rPr>
          <w:rFonts w:cstheme="minorHAnsi"/>
          <w:color w:val="231F20"/>
        </w:rPr>
        <w:t>ED</w:t>
      </w:r>
      <w:r>
        <w:rPr>
          <w:rFonts w:cstheme="minorHAnsi"/>
          <w:color w:val="231F20"/>
        </w:rPr>
        <w:t xml:space="preserve"> visits increase</w:t>
      </w:r>
      <w:r w:rsidR="002C22D1">
        <w:rPr>
          <w:rFonts w:cstheme="minorHAnsi"/>
          <w:color w:val="231F20"/>
        </w:rPr>
        <w:t>d</w:t>
      </w:r>
      <w:r>
        <w:rPr>
          <w:rFonts w:cstheme="minorHAnsi"/>
          <w:color w:val="231F20"/>
        </w:rPr>
        <w:t xml:space="preserve"> over the past </w:t>
      </w:r>
      <w:r w:rsidR="002C22D1">
        <w:rPr>
          <w:rFonts w:cstheme="minorHAnsi"/>
          <w:color w:val="231F20"/>
        </w:rPr>
        <w:t>7</w:t>
      </w:r>
      <w:r>
        <w:rPr>
          <w:rFonts w:cstheme="minorHAnsi"/>
          <w:color w:val="231F20"/>
        </w:rPr>
        <w:t xml:space="preserve"> years. </w:t>
      </w:r>
      <w:r w:rsidR="00F41BB0">
        <w:rPr>
          <w:rFonts w:cstheme="minorHAnsi"/>
          <w:color w:val="231F20"/>
        </w:rPr>
        <w:t>The annual growth rate</w:t>
      </w:r>
      <w:r w:rsidR="00657F39">
        <w:rPr>
          <w:rFonts w:cstheme="minorHAnsi"/>
          <w:color w:val="231F20"/>
        </w:rPr>
        <w:t xml:space="preserve"> of total visits</w:t>
      </w:r>
      <w:r w:rsidR="00F41BB0">
        <w:rPr>
          <w:rFonts w:cstheme="minorHAnsi"/>
          <w:color w:val="231F20"/>
        </w:rPr>
        <w:t xml:space="preserve"> </w:t>
      </w:r>
      <w:r w:rsidR="00657F39">
        <w:rPr>
          <w:rFonts w:cstheme="minorHAnsi"/>
          <w:color w:val="231F20"/>
        </w:rPr>
        <w:t>was</w:t>
      </w:r>
      <w:r w:rsidR="00F41BB0">
        <w:rPr>
          <w:rFonts w:cstheme="minorHAnsi"/>
          <w:color w:val="231F20"/>
        </w:rPr>
        <w:t xml:space="preserve"> </w:t>
      </w:r>
      <w:r w:rsidR="00657F39">
        <w:rPr>
          <w:rFonts w:cstheme="minorHAnsi"/>
          <w:color w:val="231F20"/>
        </w:rPr>
        <w:t>2.3</w:t>
      </w:r>
      <w:r w:rsidR="00602742">
        <w:rPr>
          <w:rFonts w:cstheme="minorHAnsi"/>
          <w:color w:val="231F20"/>
        </w:rPr>
        <w:t>%</w:t>
      </w:r>
      <w:r w:rsidR="00657F39">
        <w:rPr>
          <w:rFonts w:cstheme="minorHAnsi"/>
          <w:color w:val="231F20"/>
        </w:rPr>
        <w:t xml:space="preserve"> in my sample</w:t>
      </w:r>
      <w:r w:rsidR="00602742">
        <w:rPr>
          <w:rFonts w:cstheme="minorHAnsi"/>
          <w:color w:val="231F20"/>
        </w:rPr>
        <w:t>.</w:t>
      </w:r>
      <w:r w:rsidR="00657F39">
        <w:rPr>
          <w:rFonts w:cstheme="minorHAnsi"/>
          <w:color w:val="231F20"/>
        </w:rPr>
        <w:t xml:space="preserve"> W</w:t>
      </w:r>
      <w:r>
        <w:rPr>
          <w:rFonts w:cstheme="minorHAnsi"/>
          <w:color w:val="231F20"/>
        </w:rPr>
        <w:t>ait times in the hospital-based ED and overall drop-out rates decrease</w:t>
      </w:r>
      <w:r w:rsidR="00657F39">
        <w:rPr>
          <w:rFonts w:cstheme="minorHAnsi"/>
          <w:color w:val="231F20"/>
        </w:rPr>
        <w:t>d</w:t>
      </w:r>
      <w:r w:rsidR="000F4E0D">
        <w:rPr>
          <w:rFonts w:cstheme="minorHAnsi"/>
          <w:color w:val="231F20"/>
        </w:rPr>
        <w:t xml:space="preserve"> from 2012 to 2016</w:t>
      </w:r>
      <w:r>
        <w:rPr>
          <w:rFonts w:cstheme="minorHAnsi"/>
          <w:color w:val="231F20"/>
        </w:rPr>
        <w:t>.</w:t>
      </w:r>
      <w:r w:rsidR="00974750">
        <w:rPr>
          <w:rFonts w:cstheme="minorHAnsi"/>
          <w:color w:val="231F20"/>
        </w:rPr>
        <w:t xml:space="preserve"> </w:t>
      </w:r>
      <w:r w:rsidR="00A6110C">
        <w:rPr>
          <w:rFonts w:cstheme="minorHAnsi"/>
          <w:color w:val="231F20"/>
        </w:rPr>
        <w:t>However</w:t>
      </w:r>
      <w:r w:rsidR="00A6110C" w:rsidRPr="00A6110C">
        <w:rPr>
          <w:rFonts w:cstheme="minorHAnsi"/>
          <w:color w:val="231F20"/>
        </w:rPr>
        <w:t xml:space="preserve">, the </w:t>
      </w:r>
      <w:r w:rsidR="00A02C9C" w:rsidRPr="006D6416">
        <w:rPr>
          <w:rFonts w:cstheme="minorHAnsi"/>
          <w:color w:val="231F20"/>
        </w:rPr>
        <w:t xml:space="preserve">discharge </w:t>
      </w:r>
      <w:r w:rsidR="00A02C9C">
        <w:rPr>
          <w:rFonts w:cstheme="minorHAnsi"/>
          <w:color w:val="231F20"/>
        </w:rPr>
        <w:t>time</w:t>
      </w:r>
      <w:r w:rsidR="00A6110C" w:rsidRPr="00A6110C">
        <w:rPr>
          <w:rFonts w:cstheme="minorHAnsi"/>
          <w:color w:val="231F20"/>
        </w:rPr>
        <w:t xml:space="preserve">, </w:t>
      </w:r>
      <w:r w:rsidR="000F4E0D">
        <w:rPr>
          <w:rFonts w:cstheme="minorHAnsi"/>
          <w:color w:val="231F20"/>
        </w:rPr>
        <w:t xml:space="preserve">which </w:t>
      </w:r>
      <w:r w:rsidR="00A6110C" w:rsidRPr="00A6110C">
        <w:rPr>
          <w:rFonts w:cstheme="minorHAnsi"/>
          <w:color w:val="231F20"/>
        </w:rPr>
        <w:t>measur</w:t>
      </w:r>
      <w:r w:rsidR="000F4E0D">
        <w:rPr>
          <w:rFonts w:cstheme="minorHAnsi"/>
          <w:color w:val="231F20"/>
        </w:rPr>
        <w:t>ed</w:t>
      </w:r>
      <w:r w:rsidR="00A6110C" w:rsidRPr="00A6110C">
        <w:rPr>
          <w:rFonts w:cstheme="minorHAnsi"/>
          <w:color w:val="231F20"/>
        </w:rPr>
        <w:t xml:space="preserve"> the time from ED arrival to ED departure for discharged patients, </w:t>
      </w:r>
      <w:r w:rsidR="000F4E0D">
        <w:rPr>
          <w:rFonts w:cstheme="minorHAnsi"/>
          <w:color w:val="231F20"/>
        </w:rPr>
        <w:t>showed slightly increase</w:t>
      </w:r>
      <w:r w:rsidR="00A6110C" w:rsidRPr="00A6110C">
        <w:rPr>
          <w:rFonts w:cstheme="minorHAnsi"/>
          <w:color w:val="231F20"/>
        </w:rPr>
        <w:t xml:space="preserve">. </w:t>
      </w:r>
    </w:p>
    <w:p w14:paraId="66111950" w14:textId="0AD0892E" w:rsidR="002A1090" w:rsidRPr="00602742" w:rsidRDefault="002A1090" w:rsidP="002A1090">
      <w:pPr>
        <w:jc w:val="both"/>
        <w:rPr>
          <w:rFonts w:cstheme="minorHAnsi"/>
          <w:b/>
          <w:color w:val="231F20"/>
        </w:rPr>
      </w:pPr>
      <w:r w:rsidRPr="00602742">
        <w:rPr>
          <w:b/>
        </w:rPr>
        <w:lastRenderedPageBreak/>
        <w:t xml:space="preserve">Table </w:t>
      </w:r>
      <w:r w:rsidR="00A43867">
        <w:rPr>
          <w:b/>
        </w:rPr>
        <w:t>2</w:t>
      </w:r>
      <w:r w:rsidRPr="00602742">
        <w:rPr>
          <w:b/>
        </w:rPr>
        <w:t xml:space="preserve">. </w:t>
      </w:r>
      <w:r w:rsidR="00657F39">
        <w:rPr>
          <w:b/>
        </w:rPr>
        <w:t>Hospital-based emergency</w:t>
      </w:r>
      <w:r w:rsidRPr="00602742">
        <w:rPr>
          <w:b/>
        </w:rPr>
        <w:t xml:space="preserve"> </w:t>
      </w:r>
      <w:r w:rsidR="00657F39">
        <w:rPr>
          <w:b/>
        </w:rPr>
        <w:t xml:space="preserve">department visits, wait time, discharge time, and drop-out rate in Texas, </w:t>
      </w:r>
      <w:r w:rsidR="00657F39" w:rsidRPr="00602742">
        <w:rPr>
          <w:b/>
        </w:rPr>
        <w:t>from</w:t>
      </w:r>
      <w:r w:rsidRPr="00602742">
        <w:rPr>
          <w:b/>
        </w:rPr>
        <w:t xml:space="preserve"> </w:t>
      </w:r>
      <w:r w:rsidRPr="00657F39">
        <w:rPr>
          <w:b/>
        </w:rPr>
        <w:t>2010 to 2016</w:t>
      </w:r>
    </w:p>
    <w:tbl>
      <w:tblPr>
        <w:tblStyle w:val="ListTable6Colorful-Accent3"/>
        <w:tblW w:w="9831" w:type="dxa"/>
        <w:tblLook w:val="04A0" w:firstRow="1" w:lastRow="0" w:firstColumn="1" w:lastColumn="0" w:noHBand="0" w:noVBand="1"/>
      </w:tblPr>
      <w:tblGrid>
        <w:gridCol w:w="767"/>
        <w:gridCol w:w="1402"/>
        <w:gridCol w:w="1646"/>
        <w:gridCol w:w="1312"/>
        <w:gridCol w:w="1312"/>
        <w:gridCol w:w="1746"/>
        <w:gridCol w:w="1646"/>
      </w:tblGrid>
      <w:tr w:rsidR="006E0177" w14:paraId="3CF39AB6" w14:textId="21B0F9CF" w:rsidTr="00A51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3904F318" w14:textId="77777777" w:rsidR="006E0177" w:rsidRDefault="006E0177" w:rsidP="006E0177">
            <w:pPr>
              <w:tabs>
                <w:tab w:val="center" w:pos="1108"/>
              </w:tabs>
            </w:pPr>
            <w:r>
              <w:t>Year</w:t>
            </w:r>
          </w:p>
        </w:tc>
        <w:tc>
          <w:tcPr>
            <w:tcW w:w="1402" w:type="dxa"/>
          </w:tcPr>
          <w:p w14:paraId="492753AC" w14:textId="77777777" w:rsidR="00387732" w:rsidRDefault="00387732"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HBE</w:t>
            </w:r>
            <w:r w:rsidR="006E0177">
              <w:t>D Visits</w:t>
            </w:r>
          </w:p>
          <w:p w14:paraId="3A7297A4" w14:textId="16C9A6B1" w:rsidR="006E0177" w:rsidRDefault="00387732" w:rsidP="006E0177">
            <w:pPr>
              <w:jc w:val="center"/>
              <w:cnfStyle w:val="100000000000" w:firstRow="1" w:lastRow="0" w:firstColumn="0" w:lastColumn="0" w:oddVBand="0" w:evenVBand="0" w:oddHBand="0" w:evenHBand="0" w:firstRowFirstColumn="0" w:firstRowLastColumn="0" w:lastRowFirstColumn="0" w:lastRowLastColumn="0"/>
            </w:pPr>
            <w:r>
              <w:t>(Texas)</w:t>
            </w:r>
          </w:p>
        </w:tc>
        <w:tc>
          <w:tcPr>
            <w:tcW w:w="1646" w:type="dxa"/>
          </w:tcPr>
          <w:p w14:paraId="48DF757C" w14:textId="77777777" w:rsidR="00387732" w:rsidRDefault="00387732"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V</w:t>
            </w:r>
            <w:r w:rsidR="006E0177">
              <w:t>isits/Pop</w:t>
            </w:r>
          </w:p>
          <w:p w14:paraId="0B44CDC5" w14:textId="1E9EB055" w:rsidR="006E0177" w:rsidRDefault="00387732" w:rsidP="006E0177">
            <w:pPr>
              <w:jc w:val="center"/>
              <w:cnfStyle w:val="100000000000" w:firstRow="1" w:lastRow="0" w:firstColumn="0" w:lastColumn="0" w:oddVBand="0" w:evenVBand="0" w:oddHBand="0" w:evenHBand="0" w:firstRowFirstColumn="0" w:firstRowLastColumn="0" w:lastRowFirstColumn="0" w:lastRowLastColumn="0"/>
            </w:pPr>
            <w:r>
              <w:t>(Texas)</w:t>
            </w:r>
          </w:p>
        </w:tc>
        <w:tc>
          <w:tcPr>
            <w:tcW w:w="1312" w:type="dxa"/>
          </w:tcPr>
          <w:p w14:paraId="5D63F41C" w14:textId="77777777" w:rsidR="006E0177"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Avg. ED Visits</w:t>
            </w:r>
          </w:p>
          <w:p w14:paraId="4B2BC2C8" w14:textId="581BCC5F" w:rsidR="004F64CC" w:rsidRDefault="004F64CC" w:rsidP="006E0177">
            <w:pPr>
              <w:jc w:val="center"/>
              <w:cnfStyle w:val="100000000000" w:firstRow="1" w:lastRow="0" w:firstColumn="0" w:lastColumn="0" w:oddVBand="0" w:evenVBand="0" w:oddHBand="0" w:evenHBand="0" w:firstRowFirstColumn="0" w:firstRowLastColumn="0" w:lastRowFirstColumn="0" w:lastRowLastColumn="0"/>
            </w:pPr>
            <w:r>
              <w:t>(N=370)</w:t>
            </w:r>
          </w:p>
        </w:tc>
        <w:tc>
          <w:tcPr>
            <w:tcW w:w="1312" w:type="dxa"/>
          </w:tcPr>
          <w:p w14:paraId="667B72F2" w14:textId="77777777" w:rsidR="004F64CC"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Wait Time</w:t>
            </w:r>
          </w:p>
          <w:p w14:paraId="1B9C05C0" w14:textId="2EF28677" w:rsidR="006E0177" w:rsidRDefault="004F64CC" w:rsidP="006E0177">
            <w:pPr>
              <w:jc w:val="center"/>
              <w:cnfStyle w:val="100000000000" w:firstRow="1" w:lastRow="0" w:firstColumn="0" w:lastColumn="0" w:oddVBand="0" w:evenVBand="0" w:oddHBand="0" w:evenHBand="0" w:firstRowFirstColumn="0" w:firstRowLastColumn="0" w:lastRowFirstColumn="0" w:lastRowLastColumn="0"/>
            </w:pPr>
            <w:r>
              <w:t>(N=276)</w:t>
            </w:r>
            <w:r w:rsidR="006E0177">
              <w:t xml:space="preserve"> </w:t>
            </w:r>
          </w:p>
        </w:tc>
        <w:tc>
          <w:tcPr>
            <w:tcW w:w="1746" w:type="dxa"/>
          </w:tcPr>
          <w:p w14:paraId="621EA009" w14:textId="34499A9D" w:rsidR="006E0177"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Discharge</w:t>
            </w:r>
            <w:r w:rsidR="00A02C9C">
              <w:t xml:space="preserve"> Time</w:t>
            </w:r>
          </w:p>
          <w:p w14:paraId="4B956294" w14:textId="32AEB633" w:rsidR="004F64CC" w:rsidRDefault="004F64CC" w:rsidP="006E0177">
            <w:pPr>
              <w:jc w:val="center"/>
              <w:cnfStyle w:val="100000000000" w:firstRow="1" w:lastRow="0" w:firstColumn="0" w:lastColumn="0" w:oddVBand="0" w:evenVBand="0" w:oddHBand="0" w:evenHBand="0" w:firstRowFirstColumn="0" w:firstRowLastColumn="0" w:lastRowFirstColumn="0" w:lastRowLastColumn="0"/>
            </w:pPr>
            <w:r>
              <w:t>(N=276)</w:t>
            </w:r>
          </w:p>
        </w:tc>
        <w:tc>
          <w:tcPr>
            <w:tcW w:w="1646" w:type="dxa"/>
          </w:tcPr>
          <w:p w14:paraId="360D4761" w14:textId="77777777" w:rsidR="004F64CC" w:rsidRDefault="006E0177" w:rsidP="006E017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Drop-out Rate </w:t>
            </w:r>
          </w:p>
          <w:p w14:paraId="1D6C36E5" w14:textId="03CA2E5E" w:rsidR="006E0177" w:rsidRDefault="004F64CC" w:rsidP="006E0177">
            <w:pPr>
              <w:jc w:val="center"/>
              <w:cnfStyle w:val="100000000000" w:firstRow="1" w:lastRow="0" w:firstColumn="0" w:lastColumn="0" w:oddVBand="0" w:evenVBand="0" w:oddHBand="0" w:evenHBand="0" w:firstRowFirstColumn="0" w:firstRowLastColumn="0" w:lastRowFirstColumn="0" w:lastRowLastColumn="0"/>
            </w:pPr>
            <w:r>
              <w:t>(N=271)</w:t>
            </w:r>
          </w:p>
        </w:tc>
      </w:tr>
      <w:tr w:rsidR="006E0177" w14:paraId="63305A1B" w14:textId="5B82A79C" w:rsidTr="00A51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88314E0" w14:textId="77777777" w:rsidR="006E0177" w:rsidRDefault="006E0177" w:rsidP="006E0177">
            <w:pPr>
              <w:rPr>
                <w:rFonts w:cstheme="minorHAnsi"/>
                <w:color w:val="231F20"/>
              </w:rPr>
            </w:pPr>
            <w:r>
              <w:rPr>
                <w:rFonts w:cstheme="minorHAnsi"/>
                <w:color w:val="231F20"/>
              </w:rPr>
              <w:t>2010</w:t>
            </w:r>
          </w:p>
        </w:tc>
        <w:tc>
          <w:tcPr>
            <w:tcW w:w="1402" w:type="dxa"/>
          </w:tcPr>
          <w:p w14:paraId="29BC208C" w14:textId="7FE57F0E"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10,403,602</w:t>
            </w:r>
          </w:p>
        </w:tc>
        <w:tc>
          <w:tcPr>
            <w:tcW w:w="1646" w:type="dxa"/>
          </w:tcPr>
          <w:p w14:paraId="55EB59A6" w14:textId="41D85E17"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0.412</w:t>
            </w:r>
          </w:p>
        </w:tc>
        <w:tc>
          <w:tcPr>
            <w:tcW w:w="1312" w:type="dxa"/>
          </w:tcPr>
          <w:p w14:paraId="66E270A2" w14:textId="29E092F2"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26,</w:t>
            </w:r>
            <w:r w:rsidR="004F64CC">
              <w:rPr>
                <w:rFonts w:cstheme="minorHAnsi"/>
                <w:color w:val="231F20"/>
              </w:rPr>
              <w:t>683</w:t>
            </w:r>
          </w:p>
        </w:tc>
        <w:tc>
          <w:tcPr>
            <w:tcW w:w="1312" w:type="dxa"/>
          </w:tcPr>
          <w:p w14:paraId="2484A8FA" w14:textId="5A59EEAC"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w:t>
            </w:r>
          </w:p>
        </w:tc>
        <w:tc>
          <w:tcPr>
            <w:tcW w:w="1746" w:type="dxa"/>
          </w:tcPr>
          <w:p w14:paraId="1053354C" w14:textId="7CD1DC7C"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w:t>
            </w:r>
          </w:p>
        </w:tc>
        <w:tc>
          <w:tcPr>
            <w:tcW w:w="1646" w:type="dxa"/>
          </w:tcPr>
          <w:p w14:paraId="3E650342" w14:textId="1A046CB9"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w:t>
            </w:r>
          </w:p>
        </w:tc>
      </w:tr>
      <w:tr w:rsidR="006E0177" w14:paraId="498AB7D8" w14:textId="443AD0EB" w:rsidTr="00A518BD">
        <w:tc>
          <w:tcPr>
            <w:cnfStyle w:val="001000000000" w:firstRow="0" w:lastRow="0" w:firstColumn="1" w:lastColumn="0" w:oddVBand="0" w:evenVBand="0" w:oddHBand="0" w:evenHBand="0" w:firstRowFirstColumn="0" w:firstRowLastColumn="0" w:lastRowFirstColumn="0" w:lastRowLastColumn="0"/>
            <w:tcW w:w="767" w:type="dxa"/>
          </w:tcPr>
          <w:p w14:paraId="50FDB22C" w14:textId="77777777" w:rsidR="006E0177" w:rsidRDefault="006E0177" w:rsidP="006E0177">
            <w:pPr>
              <w:rPr>
                <w:rFonts w:cstheme="minorHAnsi"/>
                <w:color w:val="231F20"/>
              </w:rPr>
            </w:pPr>
            <w:r>
              <w:rPr>
                <w:rFonts w:cstheme="minorHAnsi"/>
                <w:color w:val="231F20"/>
              </w:rPr>
              <w:t>2011</w:t>
            </w:r>
          </w:p>
        </w:tc>
        <w:tc>
          <w:tcPr>
            <w:tcW w:w="1402" w:type="dxa"/>
          </w:tcPr>
          <w:p w14:paraId="03BA8EA7" w14:textId="71C3CEE8"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10,606,956</w:t>
            </w:r>
          </w:p>
        </w:tc>
        <w:tc>
          <w:tcPr>
            <w:tcW w:w="1646" w:type="dxa"/>
          </w:tcPr>
          <w:p w14:paraId="30C3BA63" w14:textId="249E7C76"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0.413</w:t>
            </w:r>
          </w:p>
        </w:tc>
        <w:tc>
          <w:tcPr>
            <w:tcW w:w="1312" w:type="dxa"/>
          </w:tcPr>
          <w:p w14:paraId="02D77A32" w14:textId="23D9C4AC"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27,</w:t>
            </w:r>
            <w:r w:rsidR="004F64CC">
              <w:rPr>
                <w:rFonts w:cstheme="minorHAnsi"/>
                <w:color w:val="231F20"/>
              </w:rPr>
              <w:t>517</w:t>
            </w:r>
          </w:p>
        </w:tc>
        <w:tc>
          <w:tcPr>
            <w:tcW w:w="1312" w:type="dxa"/>
          </w:tcPr>
          <w:p w14:paraId="061E9982" w14:textId="1ECB1671"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w:t>
            </w:r>
          </w:p>
        </w:tc>
        <w:tc>
          <w:tcPr>
            <w:tcW w:w="1746" w:type="dxa"/>
          </w:tcPr>
          <w:p w14:paraId="5EF3C99F" w14:textId="7D9380E0"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w:t>
            </w:r>
          </w:p>
        </w:tc>
        <w:tc>
          <w:tcPr>
            <w:tcW w:w="1646" w:type="dxa"/>
          </w:tcPr>
          <w:p w14:paraId="1F6DAE53" w14:textId="36CBA96F"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w:t>
            </w:r>
          </w:p>
        </w:tc>
      </w:tr>
      <w:tr w:rsidR="006E0177" w14:paraId="188EB11A" w14:textId="4DC56FA8" w:rsidTr="00A51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9BBC690" w14:textId="77777777" w:rsidR="006E0177" w:rsidRDefault="006E0177" w:rsidP="006E0177">
            <w:pPr>
              <w:rPr>
                <w:rFonts w:cstheme="minorHAnsi"/>
                <w:color w:val="231F20"/>
              </w:rPr>
            </w:pPr>
            <w:r>
              <w:rPr>
                <w:rFonts w:cstheme="minorHAnsi"/>
                <w:color w:val="231F20"/>
              </w:rPr>
              <w:t>2012</w:t>
            </w:r>
          </w:p>
        </w:tc>
        <w:tc>
          <w:tcPr>
            <w:tcW w:w="1402" w:type="dxa"/>
          </w:tcPr>
          <w:p w14:paraId="2B4AF1C5" w14:textId="5C603450"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11,021,832</w:t>
            </w:r>
          </w:p>
        </w:tc>
        <w:tc>
          <w:tcPr>
            <w:tcW w:w="1646" w:type="dxa"/>
          </w:tcPr>
          <w:p w14:paraId="1FDD1164" w14:textId="6F19881E"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0.423</w:t>
            </w:r>
          </w:p>
        </w:tc>
        <w:tc>
          <w:tcPr>
            <w:tcW w:w="1312" w:type="dxa"/>
          </w:tcPr>
          <w:p w14:paraId="46C87ED7" w14:textId="0DE5A048"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28,</w:t>
            </w:r>
            <w:r w:rsidR="004F64CC">
              <w:rPr>
                <w:rFonts w:cstheme="minorHAnsi"/>
                <w:color w:val="231F20"/>
              </w:rPr>
              <w:t>793</w:t>
            </w:r>
          </w:p>
        </w:tc>
        <w:tc>
          <w:tcPr>
            <w:tcW w:w="1312" w:type="dxa"/>
          </w:tcPr>
          <w:p w14:paraId="7536F6CC" w14:textId="44347BB5"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31.</w:t>
            </w:r>
            <w:r w:rsidR="004F64CC">
              <w:rPr>
                <w:rFonts w:cstheme="minorHAnsi"/>
                <w:color w:val="231F20"/>
              </w:rPr>
              <w:t>4</w:t>
            </w:r>
          </w:p>
        </w:tc>
        <w:tc>
          <w:tcPr>
            <w:tcW w:w="1746" w:type="dxa"/>
          </w:tcPr>
          <w:p w14:paraId="58A6F841" w14:textId="45C540E9"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13</w:t>
            </w:r>
            <w:r w:rsidR="004F64CC">
              <w:rPr>
                <w:rFonts w:cstheme="minorHAnsi"/>
                <w:color w:val="231F20"/>
              </w:rPr>
              <w:t>9</w:t>
            </w:r>
            <w:r>
              <w:rPr>
                <w:rFonts w:cstheme="minorHAnsi"/>
                <w:color w:val="231F20"/>
              </w:rPr>
              <w:t>.</w:t>
            </w:r>
            <w:r w:rsidR="004F64CC">
              <w:rPr>
                <w:rFonts w:cstheme="minorHAnsi"/>
                <w:color w:val="231F20"/>
              </w:rPr>
              <w:t>1</w:t>
            </w:r>
          </w:p>
        </w:tc>
        <w:tc>
          <w:tcPr>
            <w:tcW w:w="1646" w:type="dxa"/>
          </w:tcPr>
          <w:p w14:paraId="2A596124" w14:textId="340B4695"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2.7</w:t>
            </w:r>
          </w:p>
        </w:tc>
      </w:tr>
      <w:tr w:rsidR="006E0177" w14:paraId="4FEF5356" w14:textId="41F06524" w:rsidTr="00A518BD">
        <w:tc>
          <w:tcPr>
            <w:cnfStyle w:val="001000000000" w:firstRow="0" w:lastRow="0" w:firstColumn="1" w:lastColumn="0" w:oddVBand="0" w:evenVBand="0" w:oddHBand="0" w:evenHBand="0" w:firstRowFirstColumn="0" w:firstRowLastColumn="0" w:lastRowFirstColumn="0" w:lastRowLastColumn="0"/>
            <w:tcW w:w="767" w:type="dxa"/>
          </w:tcPr>
          <w:p w14:paraId="352D03F8" w14:textId="77777777" w:rsidR="006E0177" w:rsidRDefault="006E0177" w:rsidP="006E0177">
            <w:pPr>
              <w:rPr>
                <w:rFonts w:cstheme="minorHAnsi"/>
                <w:color w:val="231F20"/>
              </w:rPr>
            </w:pPr>
            <w:r>
              <w:rPr>
                <w:rFonts w:cstheme="minorHAnsi"/>
                <w:color w:val="231F20"/>
              </w:rPr>
              <w:t>2013</w:t>
            </w:r>
          </w:p>
        </w:tc>
        <w:tc>
          <w:tcPr>
            <w:tcW w:w="1402" w:type="dxa"/>
          </w:tcPr>
          <w:p w14:paraId="638A6D05" w14:textId="5ED2E9CD"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11,061,800</w:t>
            </w:r>
          </w:p>
        </w:tc>
        <w:tc>
          <w:tcPr>
            <w:tcW w:w="1646" w:type="dxa"/>
          </w:tcPr>
          <w:p w14:paraId="7A8A0E8A" w14:textId="4187CB27"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0.418</w:t>
            </w:r>
          </w:p>
        </w:tc>
        <w:tc>
          <w:tcPr>
            <w:tcW w:w="1312" w:type="dxa"/>
          </w:tcPr>
          <w:p w14:paraId="4403220C" w14:textId="38363E73"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28,</w:t>
            </w:r>
            <w:r w:rsidR="004F64CC">
              <w:rPr>
                <w:rFonts w:cstheme="minorHAnsi"/>
                <w:color w:val="231F20"/>
              </w:rPr>
              <w:t>560</w:t>
            </w:r>
          </w:p>
        </w:tc>
        <w:tc>
          <w:tcPr>
            <w:tcW w:w="1312" w:type="dxa"/>
          </w:tcPr>
          <w:p w14:paraId="1F342D54" w14:textId="72265CF3"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29.</w:t>
            </w:r>
            <w:r w:rsidR="004F64CC">
              <w:rPr>
                <w:rFonts w:cstheme="minorHAnsi"/>
                <w:color w:val="231F20"/>
              </w:rPr>
              <w:t>4</w:t>
            </w:r>
          </w:p>
        </w:tc>
        <w:tc>
          <w:tcPr>
            <w:tcW w:w="1746" w:type="dxa"/>
          </w:tcPr>
          <w:p w14:paraId="2FBBBA85" w14:textId="3A68FDF4"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137.</w:t>
            </w:r>
            <w:r w:rsidR="004F64CC">
              <w:rPr>
                <w:rFonts w:cstheme="minorHAnsi"/>
                <w:color w:val="231F20"/>
              </w:rPr>
              <w:t>8</w:t>
            </w:r>
          </w:p>
        </w:tc>
        <w:tc>
          <w:tcPr>
            <w:tcW w:w="1646" w:type="dxa"/>
          </w:tcPr>
          <w:p w14:paraId="3E64DF5C" w14:textId="0F18540D"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2.2</w:t>
            </w:r>
          </w:p>
        </w:tc>
      </w:tr>
      <w:tr w:rsidR="006E0177" w14:paraId="56FE038C" w14:textId="3ED998A0" w:rsidTr="00A51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2B5CEDF9" w14:textId="77777777" w:rsidR="006E0177" w:rsidRDefault="006E0177" w:rsidP="006E0177">
            <w:pPr>
              <w:rPr>
                <w:rFonts w:cstheme="minorHAnsi"/>
                <w:color w:val="231F20"/>
              </w:rPr>
            </w:pPr>
            <w:r>
              <w:rPr>
                <w:rFonts w:cstheme="minorHAnsi"/>
                <w:color w:val="231F20"/>
              </w:rPr>
              <w:t>2014</w:t>
            </w:r>
          </w:p>
        </w:tc>
        <w:tc>
          <w:tcPr>
            <w:tcW w:w="1402" w:type="dxa"/>
          </w:tcPr>
          <w:p w14:paraId="2658EAA1" w14:textId="1BD894D8"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11,168,465</w:t>
            </w:r>
          </w:p>
        </w:tc>
        <w:tc>
          <w:tcPr>
            <w:tcW w:w="1646" w:type="dxa"/>
          </w:tcPr>
          <w:p w14:paraId="07641158" w14:textId="11897282"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0.414</w:t>
            </w:r>
          </w:p>
        </w:tc>
        <w:tc>
          <w:tcPr>
            <w:tcW w:w="1312" w:type="dxa"/>
          </w:tcPr>
          <w:p w14:paraId="2DAC37F4" w14:textId="0044BC83"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29,</w:t>
            </w:r>
            <w:r w:rsidR="004F64CC">
              <w:rPr>
                <w:rFonts w:cstheme="minorHAnsi"/>
                <w:color w:val="231F20"/>
              </w:rPr>
              <w:t>657</w:t>
            </w:r>
          </w:p>
        </w:tc>
        <w:tc>
          <w:tcPr>
            <w:tcW w:w="1312" w:type="dxa"/>
          </w:tcPr>
          <w:p w14:paraId="6720BBED" w14:textId="390BC6AF"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26.7</w:t>
            </w:r>
          </w:p>
        </w:tc>
        <w:tc>
          <w:tcPr>
            <w:tcW w:w="1746" w:type="dxa"/>
          </w:tcPr>
          <w:p w14:paraId="6DD672C6" w14:textId="676EA34A"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142.</w:t>
            </w:r>
            <w:r w:rsidR="004F64CC">
              <w:rPr>
                <w:rFonts w:cstheme="minorHAnsi"/>
                <w:color w:val="231F20"/>
              </w:rPr>
              <w:t>8</w:t>
            </w:r>
          </w:p>
        </w:tc>
        <w:tc>
          <w:tcPr>
            <w:tcW w:w="1646" w:type="dxa"/>
          </w:tcPr>
          <w:p w14:paraId="3CC1018D" w14:textId="00CFD018"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2.3</w:t>
            </w:r>
          </w:p>
        </w:tc>
      </w:tr>
      <w:tr w:rsidR="006E0177" w14:paraId="0F83710E" w14:textId="53654661" w:rsidTr="00A518BD">
        <w:tc>
          <w:tcPr>
            <w:cnfStyle w:val="001000000000" w:firstRow="0" w:lastRow="0" w:firstColumn="1" w:lastColumn="0" w:oddVBand="0" w:evenVBand="0" w:oddHBand="0" w:evenHBand="0" w:firstRowFirstColumn="0" w:firstRowLastColumn="0" w:lastRowFirstColumn="0" w:lastRowLastColumn="0"/>
            <w:tcW w:w="767" w:type="dxa"/>
          </w:tcPr>
          <w:p w14:paraId="69DB082B" w14:textId="77777777" w:rsidR="006E0177" w:rsidRDefault="006E0177" w:rsidP="006E0177">
            <w:pPr>
              <w:rPr>
                <w:rFonts w:cstheme="minorHAnsi"/>
                <w:color w:val="231F20"/>
              </w:rPr>
            </w:pPr>
            <w:r>
              <w:rPr>
                <w:rFonts w:cstheme="minorHAnsi"/>
                <w:color w:val="231F20"/>
              </w:rPr>
              <w:t>2015</w:t>
            </w:r>
          </w:p>
        </w:tc>
        <w:tc>
          <w:tcPr>
            <w:tcW w:w="1402" w:type="dxa"/>
          </w:tcPr>
          <w:p w14:paraId="47E8DA36" w14:textId="5DAEF422"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11,464,788</w:t>
            </w:r>
          </w:p>
        </w:tc>
        <w:tc>
          <w:tcPr>
            <w:tcW w:w="1646" w:type="dxa"/>
          </w:tcPr>
          <w:p w14:paraId="2686EBE9" w14:textId="60FAA8CF"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ascii="Calibri" w:hAnsi="Calibri" w:cs="Calibri"/>
                <w:color w:val="000000"/>
              </w:rPr>
              <w:t>0.417</w:t>
            </w:r>
          </w:p>
        </w:tc>
        <w:tc>
          <w:tcPr>
            <w:tcW w:w="1312" w:type="dxa"/>
          </w:tcPr>
          <w:p w14:paraId="5BC64FAC" w14:textId="4489F519"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29,</w:t>
            </w:r>
            <w:r w:rsidR="004F64CC">
              <w:rPr>
                <w:rFonts w:cstheme="minorHAnsi"/>
                <w:color w:val="231F20"/>
              </w:rPr>
              <w:t>829</w:t>
            </w:r>
          </w:p>
        </w:tc>
        <w:tc>
          <w:tcPr>
            <w:tcW w:w="1312" w:type="dxa"/>
          </w:tcPr>
          <w:p w14:paraId="1CCCF1DF" w14:textId="21E0DC14"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24.</w:t>
            </w:r>
            <w:r w:rsidR="004F64CC">
              <w:rPr>
                <w:rFonts w:cstheme="minorHAnsi"/>
                <w:color w:val="231F20"/>
              </w:rPr>
              <w:t>8</w:t>
            </w:r>
          </w:p>
        </w:tc>
        <w:tc>
          <w:tcPr>
            <w:tcW w:w="1746" w:type="dxa"/>
          </w:tcPr>
          <w:p w14:paraId="7D67BB25" w14:textId="038FC049"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141.</w:t>
            </w:r>
            <w:r w:rsidR="004F64CC">
              <w:rPr>
                <w:rFonts w:cstheme="minorHAnsi"/>
                <w:color w:val="231F20"/>
              </w:rPr>
              <w:t>9</w:t>
            </w:r>
          </w:p>
        </w:tc>
        <w:tc>
          <w:tcPr>
            <w:tcW w:w="1646" w:type="dxa"/>
          </w:tcPr>
          <w:p w14:paraId="6F49CE01" w14:textId="5D3EAB68" w:rsidR="006E0177" w:rsidRDefault="006E0177" w:rsidP="006E0177">
            <w:pPr>
              <w:jc w:val="center"/>
              <w:cnfStyle w:val="000000000000" w:firstRow="0" w:lastRow="0" w:firstColumn="0" w:lastColumn="0" w:oddVBand="0" w:evenVBand="0" w:oddHBand="0" w:evenHBand="0" w:firstRowFirstColumn="0" w:firstRowLastColumn="0" w:lastRowFirstColumn="0" w:lastRowLastColumn="0"/>
              <w:rPr>
                <w:rFonts w:cstheme="minorHAnsi"/>
                <w:color w:val="231F20"/>
              </w:rPr>
            </w:pPr>
            <w:r>
              <w:rPr>
                <w:rFonts w:cstheme="minorHAnsi"/>
                <w:color w:val="231F20"/>
              </w:rPr>
              <w:t>2.1</w:t>
            </w:r>
          </w:p>
        </w:tc>
      </w:tr>
      <w:tr w:rsidR="006E0177" w14:paraId="5CCB0F1A" w14:textId="7D70E33D" w:rsidTr="00A51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4094EE3E" w14:textId="77777777" w:rsidR="006E0177" w:rsidRDefault="006E0177" w:rsidP="006E0177">
            <w:pPr>
              <w:rPr>
                <w:rFonts w:cstheme="minorHAnsi"/>
                <w:color w:val="231F20"/>
              </w:rPr>
            </w:pPr>
            <w:r>
              <w:rPr>
                <w:rFonts w:cstheme="minorHAnsi"/>
                <w:color w:val="231F20"/>
              </w:rPr>
              <w:t>2016</w:t>
            </w:r>
          </w:p>
        </w:tc>
        <w:tc>
          <w:tcPr>
            <w:tcW w:w="1402" w:type="dxa"/>
          </w:tcPr>
          <w:p w14:paraId="0FCCADA1" w14:textId="22A98DBB"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11,824,246</w:t>
            </w:r>
          </w:p>
        </w:tc>
        <w:tc>
          <w:tcPr>
            <w:tcW w:w="1646" w:type="dxa"/>
          </w:tcPr>
          <w:p w14:paraId="3EE02D2F" w14:textId="0B2B0743" w:rsidR="006E0177" w:rsidRDefault="006E0177"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ascii="Calibri" w:hAnsi="Calibri" w:cs="Calibri"/>
                <w:color w:val="000000"/>
              </w:rPr>
              <w:t>0.424</w:t>
            </w:r>
          </w:p>
        </w:tc>
        <w:tc>
          <w:tcPr>
            <w:tcW w:w="1312" w:type="dxa"/>
          </w:tcPr>
          <w:p w14:paraId="1F4F61A4" w14:textId="26951B45"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29,361</w:t>
            </w:r>
          </w:p>
        </w:tc>
        <w:tc>
          <w:tcPr>
            <w:tcW w:w="1312" w:type="dxa"/>
          </w:tcPr>
          <w:p w14:paraId="75ACD8C2" w14:textId="7C0654BD"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22.3</w:t>
            </w:r>
          </w:p>
        </w:tc>
        <w:tc>
          <w:tcPr>
            <w:tcW w:w="1746" w:type="dxa"/>
          </w:tcPr>
          <w:p w14:paraId="03047361" w14:textId="200BACFD"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140.7</w:t>
            </w:r>
          </w:p>
        </w:tc>
        <w:tc>
          <w:tcPr>
            <w:tcW w:w="1646" w:type="dxa"/>
          </w:tcPr>
          <w:p w14:paraId="6ECA8422" w14:textId="33BA9739" w:rsidR="006E0177" w:rsidRDefault="004F64CC" w:rsidP="006E0177">
            <w:pPr>
              <w:jc w:val="center"/>
              <w:cnfStyle w:val="000000100000" w:firstRow="0" w:lastRow="0" w:firstColumn="0" w:lastColumn="0" w:oddVBand="0" w:evenVBand="0" w:oddHBand="1" w:evenHBand="0" w:firstRowFirstColumn="0" w:firstRowLastColumn="0" w:lastRowFirstColumn="0" w:lastRowLastColumn="0"/>
              <w:rPr>
                <w:rFonts w:cstheme="minorHAnsi"/>
                <w:color w:val="231F20"/>
              </w:rPr>
            </w:pPr>
            <w:r>
              <w:rPr>
                <w:rFonts w:cstheme="minorHAnsi"/>
                <w:color w:val="231F20"/>
              </w:rPr>
              <w:t>2.0</w:t>
            </w:r>
          </w:p>
        </w:tc>
      </w:tr>
    </w:tbl>
    <w:p w14:paraId="400045E2" w14:textId="4BDE11E6" w:rsidR="00CF4CB8" w:rsidRDefault="00B21735" w:rsidP="00CF4CB8">
      <w:pPr>
        <w:spacing w:after="0" w:line="240" w:lineRule="auto"/>
        <w:jc w:val="both"/>
        <w:rPr>
          <w:rFonts w:cstheme="minorHAnsi"/>
          <w:color w:val="231F20"/>
          <w:sz w:val="18"/>
          <w:szCs w:val="18"/>
        </w:rPr>
      </w:pPr>
      <w:r w:rsidRPr="006E0177">
        <w:rPr>
          <w:rFonts w:cstheme="minorHAnsi"/>
          <w:b/>
          <w:color w:val="231F20"/>
          <w:sz w:val="18"/>
          <w:szCs w:val="18"/>
        </w:rPr>
        <w:t>Note</w:t>
      </w:r>
      <w:r w:rsidRPr="006E0177">
        <w:rPr>
          <w:rFonts w:cstheme="minorHAnsi"/>
          <w:color w:val="231F20"/>
          <w:sz w:val="18"/>
          <w:szCs w:val="18"/>
        </w:rPr>
        <w:t xml:space="preserve">: </w:t>
      </w:r>
      <w:r w:rsidR="006E0177">
        <w:rPr>
          <w:rFonts w:cstheme="minorHAnsi"/>
          <w:color w:val="231F20"/>
          <w:sz w:val="18"/>
          <w:szCs w:val="18"/>
        </w:rPr>
        <w:t>T</w:t>
      </w:r>
      <w:r w:rsidRPr="006E0177">
        <w:rPr>
          <w:rFonts w:cstheme="minorHAnsi"/>
          <w:color w:val="231F20"/>
          <w:sz w:val="18"/>
          <w:szCs w:val="18"/>
        </w:rPr>
        <w:t>he</w:t>
      </w:r>
      <w:r w:rsidR="004F64CC">
        <w:rPr>
          <w:rFonts w:cstheme="minorHAnsi"/>
          <w:color w:val="231F20"/>
          <w:sz w:val="18"/>
          <w:szCs w:val="18"/>
        </w:rPr>
        <w:t xml:space="preserve"> </w:t>
      </w:r>
      <w:r w:rsidR="006E0177">
        <w:rPr>
          <w:rFonts w:cstheme="minorHAnsi"/>
          <w:color w:val="231F20"/>
          <w:sz w:val="18"/>
          <w:szCs w:val="18"/>
        </w:rPr>
        <w:t xml:space="preserve">ED </w:t>
      </w:r>
      <w:r w:rsidRPr="006E0177">
        <w:rPr>
          <w:rFonts w:cstheme="minorHAnsi"/>
          <w:color w:val="231F20"/>
          <w:sz w:val="18"/>
          <w:szCs w:val="18"/>
        </w:rPr>
        <w:t>visits</w:t>
      </w:r>
      <w:r w:rsidR="006E0177">
        <w:rPr>
          <w:rFonts w:cstheme="minorHAnsi"/>
          <w:color w:val="231F20"/>
          <w:sz w:val="18"/>
          <w:szCs w:val="18"/>
        </w:rPr>
        <w:t>, wait time, discharge</w:t>
      </w:r>
      <w:r w:rsidR="00A02C9C">
        <w:rPr>
          <w:rFonts w:cstheme="minorHAnsi"/>
          <w:color w:val="231F20"/>
          <w:sz w:val="18"/>
          <w:szCs w:val="18"/>
        </w:rPr>
        <w:t xml:space="preserve"> time</w:t>
      </w:r>
      <w:r w:rsidR="006E0177">
        <w:rPr>
          <w:rFonts w:cstheme="minorHAnsi"/>
          <w:color w:val="231F20"/>
          <w:sz w:val="18"/>
          <w:szCs w:val="18"/>
        </w:rPr>
        <w:t xml:space="preserve"> and drop-out rate</w:t>
      </w:r>
      <w:r w:rsidRPr="006E0177">
        <w:rPr>
          <w:rFonts w:cstheme="minorHAnsi"/>
          <w:color w:val="231F20"/>
          <w:sz w:val="18"/>
          <w:szCs w:val="18"/>
        </w:rPr>
        <w:t xml:space="preserve"> </w:t>
      </w:r>
      <w:r w:rsidR="006E0177">
        <w:rPr>
          <w:rFonts w:cstheme="minorHAnsi"/>
          <w:color w:val="231F20"/>
          <w:sz w:val="18"/>
          <w:szCs w:val="18"/>
        </w:rPr>
        <w:t>are</w:t>
      </w:r>
      <w:r w:rsidRPr="006E0177">
        <w:rPr>
          <w:rFonts w:cstheme="minorHAnsi"/>
          <w:color w:val="231F20"/>
          <w:sz w:val="18"/>
          <w:szCs w:val="18"/>
        </w:rPr>
        <w:t xml:space="preserve"> </w:t>
      </w:r>
      <w:r w:rsidR="00E620F6">
        <w:rPr>
          <w:rFonts w:cstheme="minorHAnsi"/>
          <w:color w:val="231F20"/>
          <w:sz w:val="18"/>
          <w:szCs w:val="18"/>
        </w:rPr>
        <w:t xml:space="preserve">annual average </w:t>
      </w:r>
      <w:r w:rsidR="00CF4CB8">
        <w:rPr>
          <w:rFonts w:cstheme="minorHAnsi"/>
          <w:color w:val="231F20"/>
          <w:sz w:val="18"/>
          <w:szCs w:val="18"/>
        </w:rPr>
        <w:t>for hospitals in my sample for regressions</w:t>
      </w:r>
      <w:r w:rsidR="006E0177">
        <w:rPr>
          <w:rFonts w:cstheme="minorHAnsi"/>
          <w:color w:val="231F20"/>
          <w:sz w:val="18"/>
          <w:szCs w:val="18"/>
        </w:rPr>
        <w:t>.</w:t>
      </w:r>
    </w:p>
    <w:p w14:paraId="64096B09" w14:textId="585C193A" w:rsidR="00290576" w:rsidRDefault="00CF4CB8" w:rsidP="00CF4CB8">
      <w:pPr>
        <w:spacing w:after="0" w:line="240" w:lineRule="auto"/>
        <w:jc w:val="both"/>
        <w:rPr>
          <w:rFonts w:cstheme="minorHAnsi"/>
          <w:color w:val="231F20"/>
          <w:sz w:val="18"/>
          <w:szCs w:val="18"/>
        </w:rPr>
      </w:pPr>
      <w:r>
        <w:rPr>
          <w:rFonts w:cstheme="minorHAnsi"/>
          <w:color w:val="231F20"/>
          <w:sz w:val="18"/>
          <w:szCs w:val="18"/>
        </w:rPr>
        <w:t>Center for Medicare &amp; Medicaid Services</w:t>
      </w:r>
      <w:r w:rsidR="006E0177">
        <w:rPr>
          <w:rFonts w:cstheme="minorHAnsi"/>
          <w:color w:val="231F20"/>
          <w:sz w:val="18"/>
          <w:szCs w:val="18"/>
        </w:rPr>
        <w:t xml:space="preserve"> </w:t>
      </w:r>
      <w:r>
        <w:rPr>
          <w:rFonts w:cstheme="minorHAnsi"/>
          <w:color w:val="231F20"/>
          <w:sz w:val="18"/>
          <w:szCs w:val="18"/>
        </w:rPr>
        <w:t>started collecting Hospital Emergency Department Timely and Effective care measurements in 2012.</w:t>
      </w:r>
    </w:p>
    <w:p w14:paraId="46468374" w14:textId="77777777" w:rsidR="00CF4CB8" w:rsidRDefault="00CF4CB8" w:rsidP="00CF4CB8">
      <w:pPr>
        <w:spacing w:after="0" w:line="240" w:lineRule="auto"/>
        <w:jc w:val="both"/>
        <w:rPr>
          <w:rFonts w:cstheme="minorHAnsi"/>
          <w:color w:val="231F20"/>
          <w:sz w:val="18"/>
          <w:szCs w:val="18"/>
        </w:rPr>
      </w:pPr>
    </w:p>
    <w:p w14:paraId="6AB1A5D6" w14:textId="33D76546" w:rsidR="006E6CEE" w:rsidRPr="00437DC6" w:rsidRDefault="00E52116" w:rsidP="00334F9C">
      <w:pPr>
        <w:jc w:val="both"/>
        <w:rPr>
          <w:rFonts w:cstheme="minorHAnsi"/>
          <w:b/>
        </w:rPr>
      </w:pPr>
      <w:r w:rsidRPr="00437DC6">
        <w:rPr>
          <w:rFonts w:cstheme="minorHAnsi"/>
          <w:b/>
        </w:rPr>
        <w:t xml:space="preserve">Regression </w:t>
      </w:r>
      <w:r w:rsidR="001D2B52" w:rsidRPr="00437DC6">
        <w:rPr>
          <w:rFonts w:cstheme="minorHAnsi"/>
          <w:b/>
        </w:rPr>
        <w:t>R</w:t>
      </w:r>
      <w:r w:rsidR="006E6CEE" w:rsidRPr="00437DC6">
        <w:rPr>
          <w:rFonts w:cstheme="minorHAnsi"/>
          <w:b/>
        </w:rPr>
        <w:t>esults:</w:t>
      </w:r>
    </w:p>
    <w:p w14:paraId="4F2922C2" w14:textId="5279ED4A" w:rsidR="00E9375E" w:rsidRPr="00FC7574" w:rsidRDefault="00E9375E" w:rsidP="00E9375E">
      <w:pPr>
        <w:jc w:val="both"/>
        <w:rPr>
          <w:rFonts w:cstheme="minorHAnsi"/>
          <w:color w:val="231F20"/>
        </w:rPr>
      </w:pPr>
      <w:r w:rsidRPr="00FC7574">
        <w:rPr>
          <w:rFonts w:cstheme="minorHAnsi"/>
          <w:color w:val="231F20"/>
        </w:rPr>
        <w:t xml:space="preserve">The results </w:t>
      </w:r>
      <w:r w:rsidR="002F3CCB" w:rsidRPr="00FC7574">
        <w:rPr>
          <w:rFonts w:cstheme="minorHAnsi"/>
          <w:color w:val="231F20"/>
        </w:rPr>
        <w:t xml:space="preserve">in Table </w:t>
      </w:r>
      <w:r w:rsidR="00A43867">
        <w:rPr>
          <w:rFonts w:cstheme="minorHAnsi"/>
          <w:color w:val="231F20"/>
        </w:rPr>
        <w:t>3</w:t>
      </w:r>
      <w:r w:rsidR="002F3CCB" w:rsidRPr="00FC7574">
        <w:rPr>
          <w:rFonts w:cstheme="minorHAnsi"/>
          <w:color w:val="231F20"/>
        </w:rPr>
        <w:t xml:space="preserve"> </w:t>
      </w:r>
      <w:r w:rsidRPr="00FC7574">
        <w:rPr>
          <w:rFonts w:cstheme="minorHAnsi"/>
          <w:color w:val="231F20"/>
        </w:rPr>
        <w:t>reveal</w:t>
      </w:r>
      <w:r w:rsidR="00A6110C">
        <w:rPr>
          <w:rFonts w:cstheme="minorHAnsi"/>
          <w:color w:val="231F20"/>
        </w:rPr>
        <w:t>ed</w:t>
      </w:r>
      <w:r w:rsidRPr="00FC7574">
        <w:rPr>
          <w:rFonts w:cstheme="minorHAnsi"/>
          <w:color w:val="231F20"/>
        </w:rPr>
        <w:t xml:space="preserve"> that annual visits in hospital EDs </w:t>
      </w:r>
      <w:r w:rsidR="00A6110C">
        <w:rPr>
          <w:rFonts w:cstheme="minorHAnsi"/>
          <w:color w:val="231F20"/>
        </w:rPr>
        <w:t>were</w:t>
      </w:r>
      <w:r w:rsidRPr="00FC7574">
        <w:rPr>
          <w:rFonts w:cstheme="minorHAnsi"/>
          <w:color w:val="231F20"/>
        </w:rPr>
        <w:t xml:space="preserve"> not </w:t>
      </w:r>
      <w:r w:rsidR="00607D47">
        <w:rPr>
          <w:rFonts w:cstheme="minorHAnsi"/>
          <w:color w:val="231F20"/>
        </w:rPr>
        <w:t>associated with</w:t>
      </w:r>
      <w:r w:rsidRPr="00FC7574">
        <w:rPr>
          <w:rFonts w:cstheme="minorHAnsi"/>
          <w:color w:val="231F20"/>
        </w:rPr>
        <w:t xml:space="preserve"> the entry of freestanding EDs. </w:t>
      </w:r>
      <w:r w:rsidR="00607D47">
        <w:rPr>
          <w:rFonts w:cstheme="minorHAnsi"/>
          <w:color w:val="231F20"/>
        </w:rPr>
        <w:t>Neither the total</w:t>
      </w:r>
      <w:r w:rsidR="002F3CCB" w:rsidRPr="00FC7574">
        <w:rPr>
          <w:rFonts w:cstheme="minorHAnsi"/>
          <w:color w:val="231F20"/>
        </w:rPr>
        <w:t xml:space="preserve"> </w:t>
      </w:r>
      <w:r w:rsidR="002F3CCB" w:rsidRPr="00FC7574">
        <w:rPr>
          <w:rFonts w:cstheme="minorHAnsi"/>
        </w:rPr>
        <w:t xml:space="preserve">number of </w:t>
      </w:r>
      <w:r w:rsidR="00607D47">
        <w:rPr>
          <w:rFonts w:cstheme="minorHAnsi"/>
        </w:rPr>
        <w:t>freestanding EDs, nor the separate</w:t>
      </w:r>
      <w:r w:rsidR="00DC7FF9">
        <w:rPr>
          <w:rFonts w:cstheme="minorHAnsi"/>
        </w:rPr>
        <w:t xml:space="preserve"> effects from</w:t>
      </w:r>
      <w:r w:rsidR="00607D47">
        <w:rPr>
          <w:rFonts w:cstheme="minorHAnsi"/>
        </w:rPr>
        <w:t xml:space="preserve"> </w:t>
      </w:r>
      <w:r w:rsidR="002F3CCB" w:rsidRPr="00FC7574">
        <w:rPr>
          <w:rFonts w:cstheme="minorHAnsi"/>
        </w:rPr>
        <w:t xml:space="preserve">independent freestanding EDs </w:t>
      </w:r>
      <w:r w:rsidR="00511E3A">
        <w:rPr>
          <w:rFonts w:cstheme="minorHAnsi"/>
        </w:rPr>
        <w:t xml:space="preserve">and </w:t>
      </w:r>
      <w:r w:rsidR="002F3CCB" w:rsidRPr="00FC7574">
        <w:rPr>
          <w:rFonts w:cstheme="minorHAnsi"/>
        </w:rPr>
        <w:t xml:space="preserve">satellite EDs </w:t>
      </w:r>
      <w:r w:rsidR="00DC7FF9">
        <w:rPr>
          <w:rFonts w:cstheme="minorHAnsi"/>
        </w:rPr>
        <w:t xml:space="preserve">were associated with hospital-based ED visits. </w:t>
      </w:r>
      <w:r w:rsidR="000526E9" w:rsidRPr="00FC7574">
        <w:rPr>
          <w:rFonts w:cstheme="minorHAnsi"/>
        </w:rPr>
        <w:t>The results remain</w:t>
      </w:r>
      <w:r w:rsidR="00A6110C">
        <w:rPr>
          <w:rFonts w:cstheme="minorHAnsi"/>
        </w:rPr>
        <w:t>ed</w:t>
      </w:r>
      <w:r w:rsidR="000526E9" w:rsidRPr="00FC7574">
        <w:rPr>
          <w:rFonts w:cstheme="minorHAnsi"/>
        </w:rPr>
        <w:t xml:space="preserve"> the same with the tests for ED efficiency</w:t>
      </w:r>
      <w:r w:rsidR="00554DF6">
        <w:rPr>
          <w:rFonts w:cstheme="minorHAnsi"/>
        </w:rPr>
        <w:t xml:space="preserve"> measurements</w:t>
      </w:r>
      <w:r w:rsidR="000526E9" w:rsidRPr="00FC7574">
        <w:rPr>
          <w:rFonts w:cstheme="minorHAnsi"/>
        </w:rPr>
        <w:t xml:space="preserve">. </w:t>
      </w:r>
      <w:r w:rsidRPr="00FC7574">
        <w:rPr>
          <w:rFonts w:cstheme="minorHAnsi"/>
          <w:color w:val="231F20"/>
        </w:rPr>
        <w:t>No significant association between the hospital-based ED wait time, discharge</w:t>
      </w:r>
      <w:r w:rsidR="00A02C9C">
        <w:rPr>
          <w:rFonts w:cstheme="minorHAnsi"/>
          <w:color w:val="231F20"/>
        </w:rPr>
        <w:t xml:space="preserve"> time</w:t>
      </w:r>
      <w:r w:rsidR="006F1616">
        <w:rPr>
          <w:rFonts w:cstheme="minorHAnsi"/>
          <w:color w:val="231F20"/>
        </w:rPr>
        <w:t xml:space="preserve">, </w:t>
      </w:r>
      <w:r w:rsidRPr="00FC7574">
        <w:rPr>
          <w:rFonts w:cstheme="minorHAnsi"/>
          <w:color w:val="231F20"/>
        </w:rPr>
        <w:t xml:space="preserve">drop-out rates and the presence of freestanding EDs in the same PUMA. </w:t>
      </w:r>
      <w:r w:rsidR="00296FF0" w:rsidRPr="00FC7574">
        <w:rPr>
          <w:rFonts w:cstheme="minorHAnsi"/>
          <w:color w:val="231F20"/>
        </w:rPr>
        <w:t xml:space="preserve">It </w:t>
      </w:r>
      <w:r w:rsidR="00DC7FF9">
        <w:rPr>
          <w:rFonts w:cstheme="minorHAnsi"/>
          <w:color w:val="231F20"/>
        </w:rPr>
        <w:t>fail</w:t>
      </w:r>
      <w:r w:rsidR="00290576">
        <w:rPr>
          <w:rFonts w:cstheme="minorHAnsi"/>
          <w:color w:val="231F20"/>
        </w:rPr>
        <w:t>ed</w:t>
      </w:r>
      <w:r w:rsidR="00DC7FF9">
        <w:rPr>
          <w:rFonts w:cstheme="minorHAnsi"/>
          <w:color w:val="231F20"/>
        </w:rPr>
        <w:t xml:space="preserve"> to state</w:t>
      </w:r>
      <w:r w:rsidR="00554DF6">
        <w:rPr>
          <w:rFonts w:cstheme="minorHAnsi"/>
          <w:color w:val="231F20"/>
        </w:rPr>
        <w:t xml:space="preserve"> </w:t>
      </w:r>
      <w:r w:rsidR="00296FF0" w:rsidRPr="00FC7574">
        <w:rPr>
          <w:rFonts w:cstheme="minorHAnsi"/>
          <w:color w:val="231F20"/>
        </w:rPr>
        <w:t xml:space="preserve">that </w:t>
      </w:r>
      <w:r w:rsidR="002B490A">
        <w:rPr>
          <w:rFonts w:cstheme="minorHAnsi"/>
          <w:color w:val="231F20"/>
        </w:rPr>
        <w:t>the establishments of freestanding EDs relieve</w:t>
      </w:r>
      <w:r w:rsidR="00290576">
        <w:rPr>
          <w:rFonts w:cstheme="minorHAnsi"/>
          <w:color w:val="231F20"/>
        </w:rPr>
        <w:t>d</w:t>
      </w:r>
      <w:r w:rsidR="002B490A">
        <w:rPr>
          <w:rFonts w:cstheme="minorHAnsi"/>
          <w:color w:val="231F20"/>
        </w:rPr>
        <w:t xml:space="preserve"> congestions in local hospitals. </w:t>
      </w:r>
    </w:p>
    <w:p w14:paraId="78273D19" w14:textId="2EE1E89A" w:rsidR="00E9375E" w:rsidRPr="00A02C9C" w:rsidRDefault="000302AF" w:rsidP="00E9375E">
      <w:pPr>
        <w:jc w:val="both"/>
        <w:rPr>
          <w:rFonts w:cstheme="minorHAnsi"/>
          <w:color w:val="231F20"/>
        </w:rPr>
      </w:pPr>
      <w:r>
        <w:rPr>
          <w:rFonts w:cstheme="minorHAnsi"/>
          <w:color w:val="231F20"/>
        </w:rPr>
        <w:t>S</w:t>
      </w:r>
      <w:r w:rsidR="00E9375E" w:rsidRPr="00FC7574">
        <w:rPr>
          <w:rFonts w:cstheme="minorHAnsi"/>
          <w:color w:val="231F20"/>
        </w:rPr>
        <w:t xml:space="preserve">etting up a hospital-affiliated satellite </w:t>
      </w:r>
      <w:r w:rsidR="00E9375E" w:rsidRPr="0046751B">
        <w:rPr>
          <w:rFonts w:cstheme="minorHAnsi"/>
          <w:color w:val="231F20"/>
        </w:rPr>
        <w:t>ED significantly increase</w:t>
      </w:r>
      <w:r w:rsidR="00290576" w:rsidRPr="0046751B">
        <w:rPr>
          <w:rFonts w:cstheme="minorHAnsi"/>
          <w:color w:val="231F20"/>
        </w:rPr>
        <w:t>d</w:t>
      </w:r>
      <w:r w:rsidR="00E9375E" w:rsidRPr="00FC7574">
        <w:rPr>
          <w:rFonts w:cstheme="minorHAnsi"/>
          <w:color w:val="231F20"/>
        </w:rPr>
        <w:t xml:space="preserve"> owner </w:t>
      </w:r>
      <w:r w:rsidR="00E9375E" w:rsidRPr="00A02C9C">
        <w:rPr>
          <w:rFonts w:cstheme="minorHAnsi"/>
          <w:color w:val="231F20"/>
        </w:rPr>
        <w:t>hospitals’ visits</w:t>
      </w:r>
      <w:r w:rsidR="005D72F0" w:rsidRPr="00A02C9C">
        <w:rPr>
          <w:rFonts w:cstheme="minorHAnsi"/>
          <w:color w:val="231F20"/>
        </w:rPr>
        <w:t xml:space="preserve"> (</w:t>
      </w:r>
      <w:r w:rsidR="005D72F0" w:rsidRPr="00A02C9C">
        <w:rPr>
          <w:rFonts w:cstheme="minorHAnsi" w:hint="eastAsia"/>
          <w:color w:val="231F20"/>
        </w:rPr>
        <w:t>p</w:t>
      </w:r>
      <w:r w:rsidR="005D72F0" w:rsidRPr="00A02C9C">
        <w:rPr>
          <w:rFonts w:cstheme="minorHAnsi"/>
          <w:color w:val="231F20"/>
        </w:rPr>
        <w:t>&lt;0.01)</w:t>
      </w:r>
      <w:r w:rsidR="00554DF6" w:rsidRPr="00A02C9C">
        <w:rPr>
          <w:rFonts w:cstheme="minorHAnsi"/>
          <w:color w:val="231F20"/>
        </w:rPr>
        <w:t>.</w:t>
      </w:r>
      <w:r w:rsidR="00E9375E" w:rsidRPr="00A02C9C">
        <w:rPr>
          <w:rFonts w:cstheme="minorHAnsi"/>
          <w:color w:val="231F20"/>
        </w:rPr>
        <w:t xml:space="preserve"> </w:t>
      </w:r>
      <w:r w:rsidR="00BD4094" w:rsidRPr="00A02C9C">
        <w:rPr>
          <w:rFonts w:cstheme="minorHAnsi"/>
          <w:color w:val="231F20"/>
        </w:rPr>
        <w:t xml:space="preserve">However, </w:t>
      </w:r>
      <w:r w:rsidR="009660F7" w:rsidRPr="00A02C9C">
        <w:rPr>
          <w:rFonts w:cstheme="minorHAnsi"/>
          <w:color w:val="231F20"/>
        </w:rPr>
        <w:t xml:space="preserve">owning </w:t>
      </w:r>
      <w:r w:rsidR="00B01BEE" w:rsidRPr="00A02C9C">
        <w:rPr>
          <w:rFonts w:cstheme="minorHAnsi"/>
          <w:color w:val="231F20"/>
        </w:rPr>
        <w:t>satellite</w:t>
      </w:r>
      <w:r w:rsidR="005D72F0" w:rsidRPr="00A02C9C">
        <w:rPr>
          <w:rFonts w:cstheme="minorHAnsi"/>
          <w:color w:val="231F20"/>
        </w:rPr>
        <w:t xml:space="preserve"> EDs</w:t>
      </w:r>
      <w:r w:rsidR="00E9375E" w:rsidRPr="00A02C9C">
        <w:rPr>
          <w:rFonts w:cstheme="minorHAnsi"/>
          <w:color w:val="231F20"/>
        </w:rPr>
        <w:t xml:space="preserve"> d</w:t>
      </w:r>
      <w:r w:rsidR="00290576" w:rsidRPr="00A02C9C">
        <w:rPr>
          <w:rFonts w:cstheme="minorHAnsi"/>
          <w:color w:val="231F20"/>
        </w:rPr>
        <w:t>id</w:t>
      </w:r>
      <w:r w:rsidR="00E9375E" w:rsidRPr="00A02C9C">
        <w:rPr>
          <w:rFonts w:cstheme="minorHAnsi"/>
          <w:color w:val="231F20"/>
        </w:rPr>
        <w:t xml:space="preserve"> not influence </w:t>
      </w:r>
      <w:r w:rsidR="009660F7" w:rsidRPr="00A02C9C">
        <w:rPr>
          <w:rFonts w:cstheme="minorHAnsi"/>
          <w:color w:val="231F20"/>
        </w:rPr>
        <w:t>ED wait times, discharge times, and drop-out rates</w:t>
      </w:r>
      <w:r w:rsidR="005D72F0" w:rsidRPr="00A02C9C">
        <w:rPr>
          <w:rFonts w:cstheme="minorHAnsi"/>
          <w:color w:val="231F20"/>
        </w:rPr>
        <w:t xml:space="preserve"> in </w:t>
      </w:r>
      <w:r w:rsidR="009660F7" w:rsidRPr="00A02C9C">
        <w:rPr>
          <w:rFonts w:cstheme="minorHAnsi"/>
          <w:color w:val="231F20"/>
        </w:rPr>
        <w:t>owner</w:t>
      </w:r>
      <w:r w:rsidR="005D72F0" w:rsidRPr="00A02C9C">
        <w:rPr>
          <w:rFonts w:cstheme="minorHAnsi"/>
          <w:color w:val="231F20"/>
        </w:rPr>
        <w:t xml:space="preserve"> hospitals</w:t>
      </w:r>
      <w:r w:rsidR="00E73460" w:rsidRPr="00A02C9C">
        <w:rPr>
          <w:rFonts w:cstheme="minorHAnsi"/>
          <w:color w:val="231F20"/>
        </w:rPr>
        <w:t>, which means</w:t>
      </w:r>
      <w:r w:rsidR="009660F7" w:rsidRPr="00A02C9C">
        <w:rPr>
          <w:rFonts w:cstheme="minorHAnsi"/>
          <w:color w:val="231F20"/>
        </w:rPr>
        <w:t xml:space="preserve"> hospital-based ED congestion </w:t>
      </w:r>
      <w:r w:rsidR="00290576" w:rsidRPr="00A02C9C">
        <w:rPr>
          <w:rFonts w:cstheme="minorHAnsi"/>
          <w:color w:val="231F20"/>
        </w:rPr>
        <w:t>didn’t</w:t>
      </w:r>
      <w:r w:rsidR="009660F7" w:rsidRPr="00A02C9C">
        <w:rPr>
          <w:rFonts w:cstheme="minorHAnsi"/>
          <w:color w:val="231F20"/>
        </w:rPr>
        <w:t xml:space="preserve"> change by owning satellite EDs</w:t>
      </w:r>
      <w:r w:rsidR="00E73460" w:rsidRPr="00A02C9C">
        <w:rPr>
          <w:rFonts w:cstheme="minorHAnsi"/>
          <w:color w:val="231F20"/>
        </w:rPr>
        <w:t xml:space="preserve">. </w:t>
      </w:r>
    </w:p>
    <w:p w14:paraId="0BA57160" w14:textId="40FAE6B0" w:rsidR="00DF4397" w:rsidRDefault="000D4613" w:rsidP="009660F7">
      <w:pPr>
        <w:jc w:val="both"/>
        <w:rPr>
          <w:rFonts w:cstheme="minorHAnsi"/>
          <w:color w:val="231F20"/>
        </w:rPr>
      </w:pPr>
      <w:r w:rsidRPr="00AF4E35">
        <w:rPr>
          <w:rFonts w:cstheme="minorHAnsi"/>
        </w:rPr>
        <w:t xml:space="preserve">The </w:t>
      </w:r>
      <w:r>
        <w:rPr>
          <w:rFonts w:cstheme="minorHAnsi"/>
        </w:rPr>
        <w:t xml:space="preserve">year </w:t>
      </w:r>
      <w:r w:rsidRPr="00AF4E35">
        <w:rPr>
          <w:rFonts w:cstheme="minorHAnsi"/>
        </w:rPr>
        <w:t>fixed effects show</w:t>
      </w:r>
      <w:r w:rsidR="00290576">
        <w:rPr>
          <w:rFonts w:cstheme="minorHAnsi"/>
        </w:rPr>
        <w:t>ed</w:t>
      </w:r>
      <w:r w:rsidRPr="00AF4E35">
        <w:rPr>
          <w:rFonts w:cstheme="minorHAnsi"/>
        </w:rPr>
        <w:t xml:space="preserve"> the trends in hospital visits</w:t>
      </w:r>
      <w:r>
        <w:rPr>
          <w:rFonts w:cstheme="minorHAnsi"/>
        </w:rPr>
        <w:t xml:space="preserve"> and ED congestion</w:t>
      </w:r>
      <w:r w:rsidRPr="00AF4E35">
        <w:rPr>
          <w:rFonts w:cstheme="minorHAnsi"/>
        </w:rPr>
        <w:t xml:space="preserve"> over time</w:t>
      </w:r>
      <w:r>
        <w:rPr>
          <w:rFonts w:cstheme="minorHAnsi"/>
        </w:rPr>
        <w:t xml:space="preserve">. </w:t>
      </w:r>
      <w:r>
        <w:rPr>
          <w:rFonts w:cstheme="minorHAnsi"/>
          <w:color w:val="231F20"/>
        </w:rPr>
        <w:t>ED</w:t>
      </w:r>
      <w:r w:rsidR="00B01BEE">
        <w:rPr>
          <w:rFonts w:cstheme="minorHAnsi"/>
          <w:color w:val="231F20"/>
        </w:rPr>
        <w:t xml:space="preserve"> visits increased over the past years compared to </w:t>
      </w:r>
      <w:r w:rsidR="00D85BC9">
        <w:rPr>
          <w:rFonts w:cstheme="minorHAnsi"/>
          <w:color w:val="231F20"/>
        </w:rPr>
        <w:t xml:space="preserve">the </w:t>
      </w:r>
      <w:r w:rsidR="00B01BEE">
        <w:rPr>
          <w:rFonts w:cstheme="minorHAnsi"/>
          <w:color w:val="231F20"/>
        </w:rPr>
        <w:t>base year</w:t>
      </w:r>
      <w:r w:rsidR="00D85BC9">
        <w:rPr>
          <w:rFonts w:cstheme="minorHAnsi"/>
          <w:color w:val="231F20"/>
        </w:rPr>
        <w:t xml:space="preserve"> 2010</w:t>
      </w:r>
      <w:r w:rsidR="004D61D0">
        <w:rPr>
          <w:rFonts w:cstheme="minorHAnsi"/>
          <w:color w:val="231F20"/>
        </w:rPr>
        <w:t xml:space="preserve">. The increased rates </w:t>
      </w:r>
      <w:r w:rsidR="004A3B16">
        <w:rPr>
          <w:rFonts w:cstheme="minorHAnsi"/>
          <w:color w:val="231F20"/>
        </w:rPr>
        <w:t>were</w:t>
      </w:r>
      <w:r w:rsidR="004D61D0">
        <w:rPr>
          <w:rFonts w:cstheme="minorHAnsi"/>
          <w:color w:val="231F20"/>
        </w:rPr>
        <w:t xml:space="preserve"> significant with an increased magnitude, </w:t>
      </w:r>
      <w:r w:rsidR="00B01BEE">
        <w:rPr>
          <w:rFonts w:cstheme="minorHAnsi"/>
          <w:color w:val="231F20"/>
        </w:rPr>
        <w:t>except for 2016.</w:t>
      </w:r>
      <w:r w:rsidR="00D85BC9">
        <w:rPr>
          <w:rFonts w:cstheme="minorHAnsi"/>
          <w:color w:val="231F20"/>
        </w:rPr>
        <w:t xml:space="preserve"> Contradict to visit volume, </w:t>
      </w:r>
      <w:r w:rsidR="004D61D0">
        <w:rPr>
          <w:rFonts w:cstheme="minorHAnsi"/>
          <w:color w:val="231F20"/>
        </w:rPr>
        <w:t>wait times and drop-out rates</w:t>
      </w:r>
      <w:r>
        <w:rPr>
          <w:rFonts w:cstheme="minorHAnsi"/>
          <w:color w:val="231F20"/>
        </w:rPr>
        <w:t xml:space="preserve"> decrease</w:t>
      </w:r>
      <w:r w:rsidR="004A3B16">
        <w:rPr>
          <w:rFonts w:cstheme="minorHAnsi"/>
          <w:color w:val="231F20"/>
        </w:rPr>
        <w:t>d</w:t>
      </w:r>
      <w:r w:rsidR="00D85BC9">
        <w:rPr>
          <w:rFonts w:cstheme="minorHAnsi"/>
          <w:color w:val="231F20"/>
        </w:rPr>
        <w:t xml:space="preserve"> over years</w:t>
      </w:r>
      <w:r w:rsidR="004D61D0">
        <w:rPr>
          <w:rFonts w:cstheme="minorHAnsi"/>
          <w:color w:val="231F20"/>
        </w:rPr>
        <w:t xml:space="preserve"> regardless of </w:t>
      </w:r>
      <w:r w:rsidR="00E620F6">
        <w:rPr>
          <w:rFonts w:cstheme="minorHAnsi"/>
          <w:color w:val="231F20"/>
        </w:rPr>
        <w:t xml:space="preserve">increased visits. </w:t>
      </w:r>
      <w:r w:rsidR="00D85BC9">
        <w:rPr>
          <w:rFonts w:cstheme="minorHAnsi"/>
          <w:color w:val="231F20"/>
        </w:rPr>
        <w:t>However,</w:t>
      </w:r>
      <w:r>
        <w:rPr>
          <w:rFonts w:cstheme="minorHAnsi"/>
          <w:color w:val="231F20"/>
        </w:rPr>
        <w:t xml:space="preserve"> </w:t>
      </w:r>
      <w:r w:rsidR="00A02C9C">
        <w:rPr>
          <w:rFonts w:cstheme="minorHAnsi"/>
          <w:color w:val="231F20"/>
        </w:rPr>
        <w:t>length of visit</w:t>
      </w:r>
      <w:r w:rsidRPr="006D6416">
        <w:rPr>
          <w:rFonts w:cstheme="minorHAnsi"/>
          <w:color w:val="231F20"/>
        </w:rPr>
        <w:t xml:space="preserve"> for discharged patients</w:t>
      </w:r>
      <w:r>
        <w:rPr>
          <w:rFonts w:cstheme="minorHAnsi"/>
          <w:color w:val="231F20"/>
        </w:rPr>
        <w:t xml:space="preserve"> d</w:t>
      </w:r>
      <w:r w:rsidR="004A3B16">
        <w:rPr>
          <w:rFonts w:cstheme="minorHAnsi"/>
          <w:color w:val="231F20"/>
        </w:rPr>
        <w:t>id</w:t>
      </w:r>
      <w:r>
        <w:rPr>
          <w:rFonts w:cstheme="minorHAnsi"/>
          <w:color w:val="231F20"/>
        </w:rPr>
        <w:t xml:space="preserve">n’t </w:t>
      </w:r>
      <w:r w:rsidR="00E620F6">
        <w:rPr>
          <w:rFonts w:cstheme="minorHAnsi"/>
          <w:color w:val="231F20"/>
        </w:rPr>
        <w:t>change much</w:t>
      </w:r>
      <w:r>
        <w:rPr>
          <w:rFonts w:cstheme="minorHAnsi"/>
          <w:color w:val="231F20"/>
        </w:rPr>
        <w:t xml:space="preserve">. </w:t>
      </w:r>
    </w:p>
    <w:p w14:paraId="2A4C01F7" w14:textId="1B93C539" w:rsidR="00DF4397" w:rsidRDefault="009660F7" w:rsidP="009660F7">
      <w:pPr>
        <w:jc w:val="both"/>
        <w:rPr>
          <w:rFonts w:cstheme="minorHAnsi"/>
          <w:color w:val="231F20"/>
        </w:rPr>
      </w:pPr>
      <w:r>
        <w:rPr>
          <w:rFonts w:cstheme="minorHAnsi"/>
          <w:color w:val="231F20"/>
        </w:rPr>
        <w:t>Changes in demographic characteristics d</w:t>
      </w:r>
      <w:r w:rsidR="004A3B16">
        <w:rPr>
          <w:rFonts w:cstheme="minorHAnsi"/>
          <w:color w:val="231F20"/>
        </w:rPr>
        <w:t>id</w:t>
      </w:r>
      <w:r>
        <w:rPr>
          <w:rFonts w:cstheme="minorHAnsi"/>
          <w:color w:val="231F20"/>
        </w:rPr>
        <w:t xml:space="preserve"> not show </w:t>
      </w:r>
      <w:r w:rsidR="00E620F6">
        <w:rPr>
          <w:rFonts w:cstheme="minorHAnsi"/>
          <w:color w:val="231F20"/>
        </w:rPr>
        <w:t xml:space="preserve">any </w:t>
      </w:r>
      <w:r>
        <w:rPr>
          <w:rFonts w:cstheme="minorHAnsi"/>
          <w:color w:val="231F20"/>
        </w:rPr>
        <w:t>significant impact on hospital visits.</w:t>
      </w:r>
      <w:r w:rsidR="0014115B">
        <w:rPr>
          <w:rFonts w:cstheme="minorHAnsi"/>
          <w:color w:val="231F20"/>
        </w:rPr>
        <w:t xml:space="preserve"> </w:t>
      </w:r>
      <w:r w:rsidR="004A3B16">
        <w:rPr>
          <w:rFonts w:cstheme="minorHAnsi"/>
          <w:color w:val="231F20"/>
        </w:rPr>
        <w:t>The PUMA-level</w:t>
      </w:r>
      <w:r w:rsidR="00DF4397">
        <w:rPr>
          <w:rFonts w:cstheme="minorHAnsi"/>
          <w:color w:val="231F20"/>
        </w:rPr>
        <w:t xml:space="preserve"> percent</w:t>
      </w:r>
      <w:r w:rsidR="004A3B16">
        <w:rPr>
          <w:rFonts w:cstheme="minorHAnsi"/>
          <w:color w:val="231F20"/>
        </w:rPr>
        <w:t>age</w:t>
      </w:r>
      <w:r w:rsidR="00DF4397">
        <w:rPr>
          <w:rFonts w:cstheme="minorHAnsi"/>
          <w:color w:val="231F20"/>
        </w:rPr>
        <w:t xml:space="preserve"> of patients over age 65 (usually insured with Medicare) in</w:t>
      </w:r>
      <w:r w:rsidR="00DF4397" w:rsidRPr="00FC7574">
        <w:rPr>
          <w:rFonts w:cstheme="minorHAnsi"/>
          <w:color w:val="231F20"/>
        </w:rPr>
        <w:t>crease</w:t>
      </w:r>
      <w:r w:rsidR="004A3B16">
        <w:rPr>
          <w:rFonts w:cstheme="minorHAnsi"/>
          <w:color w:val="231F20"/>
        </w:rPr>
        <w:t>d</w:t>
      </w:r>
      <w:r w:rsidR="00DF4397" w:rsidRPr="00FC7574">
        <w:rPr>
          <w:rFonts w:cstheme="minorHAnsi"/>
          <w:color w:val="231F20"/>
        </w:rPr>
        <w:t xml:space="preserve"> </w:t>
      </w:r>
      <w:r w:rsidR="00991D32">
        <w:rPr>
          <w:rFonts w:cstheme="minorHAnsi"/>
          <w:color w:val="231F20"/>
        </w:rPr>
        <w:t>ED</w:t>
      </w:r>
      <w:r w:rsidR="00DF4397" w:rsidRPr="00FC7574">
        <w:rPr>
          <w:rFonts w:cstheme="minorHAnsi"/>
          <w:color w:val="231F20"/>
        </w:rPr>
        <w:t xml:space="preserve"> </w:t>
      </w:r>
      <w:r w:rsidR="00DF4397">
        <w:rPr>
          <w:rFonts w:cstheme="minorHAnsi"/>
          <w:color w:val="231F20"/>
        </w:rPr>
        <w:t>visits</w:t>
      </w:r>
      <w:r w:rsidR="00DF4397" w:rsidRPr="00FC7574">
        <w:rPr>
          <w:rFonts w:cstheme="minorHAnsi"/>
          <w:color w:val="231F20"/>
        </w:rPr>
        <w:t xml:space="preserve">, although the effect </w:t>
      </w:r>
      <w:r w:rsidR="004A3B16">
        <w:rPr>
          <w:rFonts w:cstheme="minorHAnsi"/>
          <w:color w:val="231F20"/>
        </w:rPr>
        <w:t>wa</w:t>
      </w:r>
      <w:r w:rsidR="00DF4397" w:rsidRPr="00FC7574">
        <w:rPr>
          <w:rFonts w:cstheme="minorHAnsi"/>
          <w:color w:val="231F20"/>
        </w:rPr>
        <w:t>s imprecisely estimated (p</w:t>
      </w:r>
      <w:r w:rsidR="00DF4397">
        <w:rPr>
          <w:rFonts w:cstheme="minorHAnsi"/>
          <w:color w:val="231F20"/>
        </w:rPr>
        <w:t>&lt;0.1</w:t>
      </w:r>
      <w:r w:rsidR="00DF4397" w:rsidRPr="00FC7574">
        <w:rPr>
          <w:rFonts w:cstheme="minorHAnsi"/>
          <w:color w:val="231F20"/>
        </w:rPr>
        <w:t>)</w:t>
      </w:r>
      <w:r w:rsidR="00DF4397">
        <w:rPr>
          <w:rFonts w:cstheme="minorHAnsi"/>
          <w:color w:val="231F20"/>
        </w:rPr>
        <w:t>.</w:t>
      </w:r>
    </w:p>
    <w:p w14:paraId="12C5ACBF" w14:textId="74D52838" w:rsidR="00E9375E" w:rsidRDefault="00554DF6" w:rsidP="006941AE">
      <w:pPr>
        <w:jc w:val="both"/>
        <w:rPr>
          <w:rFonts w:cstheme="minorHAnsi"/>
          <w:color w:val="231F20"/>
        </w:rPr>
      </w:pPr>
      <w:r w:rsidRPr="00FC7574">
        <w:rPr>
          <w:rFonts w:cstheme="minorHAnsi"/>
          <w:color w:val="231F20"/>
        </w:rPr>
        <w:t>The results were unaffected by using 3-mile distance bands of the hospitals to calculate nearby competitors</w:t>
      </w:r>
      <w:r>
        <w:rPr>
          <w:rFonts w:cstheme="minorHAnsi"/>
          <w:color w:val="231F20"/>
        </w:rPr>
        <w:t xml:space="preserve"> (</w:t>
      </w:r>
      <w:r w:rsidR="00DD20F4">
        <w:rPr>
          <w:rFonts w:cstheme="minorHAnsi"/>
          <w:color w:val="231F20"/>
        </w:rPr>
        <w:t>Appendix Table</w:t>
      </w:r>
      <w:r>
        <w:rPr>
          <w:rFonts w:cstheme="minorHAnsi"/>
          <w:color w:val="231F20"/>
        </w:rPr>
        <w:t xml:space="preserve"> </w:t>
      </w:r>
      <w:r w:rsidR="00A43867">
        <w:rPr>
          <w:rFonts w:cstheme="minorHAnsi"/>
          <w:color w:val="231F20"/>
        </w:rPr>
        <w:t>1</w:t>
      </w:r>
      <w:r>
        <w:rPr>
          <w:rFonts w:cstheme="minorHAnsi"/>
          <w:color w:val="231F20"/>
        </w:rPr>
        <w:t>).</w:t>
      </w:r>
      <w:r w:rsidR="0046751B">
        <w:rPr>
          <w:rFonts w:cstheme="minorHAnsi"/>
          <w:color w:val="231F20"/>
        </w:rPr>
        <w:t xml:space="preserve"> The weights in the regressions did not change the main conclusions I had above (Appendix Table 2).  </w:t>
      </w:r>
    </w:p>
    <w:p w14:paraId="2742F5C1" w14:textId="04D09E89" w:rsidR="008A3C15" w:rsidRPr="00E620F6" w:rsidRDefault="00602742" w:rsidP="0068173E">
      <w:pPr>
        <w:jc w:val="both"/>
        <w:rPr>
          <w:rFonts w:cstheme="minorHAnsi"/>
          <w:b/>
          <w:color w:val="231F20"/>
          <w:highlight w:val="yellow"/>
        </w:rPr>
      </w:pPr>
      <w:r w:rsidRPr="00E620F6">
        <w:rPr>
          <w:rFonts w:cstheme="minorHAnsi"/>
          <w:b/>
          <w:color w:val="231F20"/>
        </w:rPr>
        <w:t>Table</w:t>
      </w:r>
      <w:r w:rsidR="00E203CA" w:rsidRPr="00E620F6">
        <w:rPr>
          <w:rFonts w:cstheme="minorHAnsi"/>
          <w:b/>
          <w:color w:val="231F20"/>
        </w:rPr>
        <w:t xml:space="preserve"> </w:t>
      </w:r>
      <w:r w:rsidR="00A43867">
        <w:rPr>
          <w:rFonts w:cstheme="minorHAnsi"/>
          <w:b/>
          <w:color w:val="231F20"/>
        </w:rPr>
        <w:t>3</w:t>
      </w:r>
      <w:r w:rsidR="00F715E4" w:rsidRPr="00E620F6">
        <w:rPr>
          <w:rFonts w:cstheme="minorHAnsi"/>
          <w:b/>
          <w:color w:val="231F20"/>
        </w:rPr>
        <w:t>.</w:t>
      </w:r>
      <w:r w:rsidR="00611CEE" w:rsidRPr="00E620F6">
        <w:rPr>
          <w:rFonts w:cstheme="minorHAnsi"/>
          <w:b/>
          <w:color w:val="231F20"/>
        </w:rPr>
        <w:t xml:space="preserve"> Estimates of the changes in hospital-based emergency departments, associated with nearby competitors and various factors in the same </w:t>
      </w:r>
      <w:r w:rsidR="00B64FE3" w:rsidRPr="00E620F6">
        <w:rPr>
          <w:rFonts w:cstheme="minorHAnsi"/>
          <w:b/>
          <w:color w:val="231F20"/>
        </w:rPr>
        <w:t>Public Use Microdata Area</w:t>
      </w:r>
      <w:r w:rsidR="00B21735" w:rsidRPr="00E620F6">
        <w:rPr>
          <w:rFonts w:cstheme="minorHAnsi"/>
          <w:b/>
          <w:color w:val="231F20"/>
        </w:rPr>
        <w:t xml:space="preserve"> in Texas</w:t>
      </w:r>
      <w:r w:rsidR="00B64FE3" w:rsidRPr="00E620F6">
        <w:rPr>
          <w:rFonts w:cstheme="minorHAnsi"/>
          <w:b/>
          <w:color w:val="231F20"/>
        </w:rPr>
        <w:t>.</w:t>
      </w:r>
      <w:r w:rsidR="00611CEE" w:rsidRPr="00E620F6">
        <w:rPr>
          <w:rFonts w:cstheme="minorHAnsi"/>
          <w:b/>
          <w:color w:val="231F20"/>
          <w:highlight w:val="yellow"/>
        </w:rPr>
        <w:t xml:space="preserve"> </w:t>
      </w:r>
    </w:p>
    <w:tbl>
      <w:tblPr>
        <w:tblStyle w:val="ListTable6Colorful-Accent3"/>
        <w:tblW w:w="9450" w:type="dxa"/>
        <w:tblLayout w:type="fixed"/>
        <w:tblLook w:val="04A0" w:firstRow="1" w:lastRow="0" w:firstColumn="1" w:lastColumn="0" w:noHBand="0" w:noVBand="1"/>
      </w:tblPr>
      <w:tblGrid>
        <w:gridCol w:w="2160"/>
        <w:gridCol w:w="1440"/>
        <w:gridCol w:w="1440"/>
        <w:gridCol w:w="1260"/>
        <w:gridCol w:w="1620"/>
        <w:gridCol w:w="1530"/>
      </w:tblGrid>
      <w:tr w:rsidR="000302AF" w:rsidRPr="003E6791" w14:paraId="50037F60" w14:textId="77777777" w:rsidTr="00B65C1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4803E8A" w14:textId="77777777" w:rsidR="000302AF" w:rsidRPr="003E6791" w:rsidRDefault="000302AF" w:rsidP="000302AF">
            <w:pPr>
              <w:rPr>
                <w:rFonts w:ascii="Times New Roman" w:eastAsia="Times New Roman" w:hAnsi="Times New Roman" w:cs="Times New Roman"/>
                <w:sz w:val="24"/>
                <w:szCs w:val="24"/>
              </w:rPr>
            </w:pPr>
          </w:p>
        </w:tc>
        <w:tc>
          <w:tcPr>
            <w:tcW w:w="1440" w:type="dxa"/>
            <w:noWrap/>
            <w:hideMark/>
          </w:tcPr>
          <w:p w14:paraId="26EC1EFB" w14:textId="77777777"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Visit Volume</w:t>
            </w:r>
          </w:p>
        </w:tc>
        <w:tc>
          <w:tcPr>
            <w:tcW w:w="1440" w:type="dxa"/>
          </w:tcPr>
          <w:p w14:paraId="5409BDEE" w14:textId="004FA516"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Visit Volume</w:t>
            </w:r>
          </w:p>
        </w:tc>
        <w:tc>
          <w:tcPr>
            <w:tcW w:w="1260" w:type="dxa"/>
            <w:noWrap/>
            <w:hideMark/>
          </w:tcPr>
          <w:p w14:paraId="54E9DEBE" w14:textId="1C35B913"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Wait Time</w:t>
            </w:r>
          </w:p>
        </w:tc>
        <w:tc>
          <w:tcPr>
            <w:tcW w:w="1620" w:type="dxa"/>
            <w:noWrap/>
            <w:hideMark/>
          </w:tcPr>
          <w:p w14:paraId="2B13144A" w14:textId="69F6ED4F" w:rsidR="000302AF" w:rsidRPr="003E6791" w:rsidRDefault="009660F7"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Discharge</w:t>
            </w:r>
            <w:r w:rsidR="00A02C9C">
              <w:rPr>
                <w:rFonts w:ascii="Calibri" w:eastAsia="Times New Roman" w:hAnsi="Calibri" w:cs="Calibri"/>
                <w:color w:val="000000"/>
              </w:rPr>
              <w:t xml:space="preserve"> Time</w:t>
            </w:r>
          </w:p>
        </w:tc>
        <w:tc>
          <w:tcPr>
            <w:tcW w:w="1530" w:type="dxa"/>
            <w:noWrap/>
            <w:hideMark/>
          </w:tcPr>
          <w:p w14:paraId="15FE18A0" w14:textId="77777777" w:rsidR="000302AF" w:rsidRPr="003E6791" w:rsidRDefault="000302AF" w:rsidP="000302A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Drop-out Rate</w:t>
            </w:r>
          </w:p>
        </w:tc>
      </w:tr>
      <w:tr w:rsidR="000302AF" w:rsidRPr="003E6791" w14:paraId="5533FBC8"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13A6A21" w14:textId="097A66DB"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own SE</w:t>
            </w:r>
            <w:r w:rsidR="005D455F">
              <w:rPr>
                <w:rFonts w:ascii="Calibri" w:eastAsia="Times New Roman" w:hAnsi="Calibri" w:cs="Calibri"/>
                <w:color w:val="000000"/>
              </w:rPr>
              <w:t>Ds</w:t>
            </w:r>
            <w:r w:rsidRPr="003E6791">
              <w:rPr>
                <w:rFonts w:ascii="Calibri" w:eastAsia="Times New Roman" w:hAnsi="Calibri" w:cs="Calibri"/>
                <w:color w:val="000000"/>
              </w:rPr>
              <w:t xml:space="preserve"> (dummy)</w:t>
            </w:r>
          </w:p>
        </w:tc>
        <w:tc>
          <w:tcPr>
            <w:tcW w:w="1440" w:type="dxa"/>
            <w:noWrap/>
            <w:hideMark/>
          </w:tcPr>
          <w:p w14:paraId="29064F2E"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0.130***</w:t>
            </w:r>
          </w:p>
        </w:tc>
        <w:tc>
          <w:tcPr>
            <w:tcW w:w="1440" w:type="dxa"/>
          </w:tcPr>
          <w:p w14:paraId="60F9F810" w14:textId="0A7CFDBC"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0.129***</w:t>
            </w:r>
          </w:p>
        </w:tc>
        <w:tc>
          <w:tcPr>
            <w:tcW w:w="1260" w:type="dxa"/>
            <w:noWrap/>
            <w:hideMark/>
          </w:tcPr>
          <w:p w14:paraId="239C294A" w14:textId="14C83DDD"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0.00162</w:t>
            </w:r>
          </w:p>
        </w:tc>
        <w:tc>
          <w:tcPr>
            <w:tcW w:w="1620" w:type="dxa"/>
            <w:noWrap/>
            <w:hideMark/>
          </w:tcPr>
          <w:p w14:paraId="38E8D07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-0.0196</w:t>
            </w:r>
          </w:p>
        </w:tc>
        <w:tc>
          <w:tcPr>
            <w:tcW w:w="1530" w:type="dxa"/>
            <w:noWrap/>
            <w:hideMark/>
          </w:tcPr>
          <w:p w14:paraId="5692B4EE"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0.0432</w:t>
            </w:r>
          </w:p>
        </w:tc>
      </w:tr>
      <w:tr w:rsidR="000302AF" w:rsidRPr="003E6791" w14:paraId="664FFD40"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64F0205" w14:textId="2CF0CC1F"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FSED</w:t>
            </w:r>
            <w:r>
              <w:rPr>
                <w:rFonts w:ascii="Calibri" w:eastAsia="Times New Roman" w:hAnsi="Calibri" w:cs="Calibri"/>
                <w:color w:val="000000"/>
              </w:rPr>
              <w:t xml:space="preserve">s in the </w:t>
            </w:r>
            <w:r w:rsidRPr="003E6791">
              <w:rPr>
                <w:rFonts w:ascii="Calibri" w:eastAsia="Times New Roman" w:hAnsi="Calibri" w:cs="Calibri"/>
                <w:color w:val="000000"/>
              </w:rPr>
              <w:t>puma</w:t>
            </w:r>
          </w:p>
        </w:tc>
        <w:tc>
          <w:tcPr>
            <w:tcW w:w="1440" w:type="dxa"/>
            <w:noWrap/>
            <w:hideMark/>
          </w:tcPr>
          <w:p w14:paraId="600D55E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0.00776</w:t>
            </w:r>
          </w:p>
        </w:tc>
        <w:tc>
          <w:tcPr>
            <w:tcW w:w="1440" w:type="dxa"/>
          </w:tcPr>
          <w:p w14:paraId="6CD282EA"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60" w:type="dxa"/>
            <w:noWrap/>
            <w:hideMark/>
          </w:tcPr>
          <w:p w14:paraId="37BA4FCC" w14:textId="70AE612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7.60E-05</w:t>
            </w:r>
          </w:p>
        </w:tc>
        <w:tc>
          <w:tcPr>
            <w:tcW w:w="1620" w:type="dxa"/>
            <w:noWrap/>
            <w:hideMark/>
          </w:tcPr>
          <w:p w14:paraId="019408A0"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0.00447</w:t>
            </w:r>
          </w:p>
        </w:tc>
        <w:tc>
          <w:tcPr>
            <w:tcW w:w="1530" w:type="dxa"/>
            <w:noWrap/>
            <w:hideMark/>
          </w:tcPr>
          <w:p w14:paraId="271B887D"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-0.00195</w:t>
            </w:r>
          </w:p>
        </w:tc>
      </w:tr>
      <w:tr w:rsidR="000302AF" w:rsidRPr="003E6791" w14:paraId="64A72948"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4E543FFB" w14:textId="133AE0EE" w:rsidR="000302AF" w:rsidRPr="00554DF6" w:rsidRDefault="000302AF" w:rsidP="000302AF">
            <w:pPr>
              <w:rPr>
                <w:rFonts w:ascii="Calibri" w:eastAsia="Times New Roman" w:hAnsi="Calibri" w:cs="Calibri"/>
                <w:color w:val="000000"/>
              </w:rPr>
            </w:pPr>
            <w:r>
              <w:rPr>
                <w:rFonts w:ascii="Calibri" w:eastAsia="Times New Roman" w:hAnsi="Calibri" w:cs="Calibri"/>
                <w:color w:val="000000"/>
              </w:rPr>
              <w:lastRenderedPageBreak/>
              <w:t xml:space="preserve">    IFE</w:t>
            </w:r>
            <w:r w:rsidR="005D455F">
              <w:rPr>
                <w:rFonts w:ascii="Calibri" w:eastAsia="Times New Roman" w:hAnsi="Calibri" w:cs="Calibri"/>
                <w:color w:val="000000"/>
              </w:rPr>
              <w:t>D</w:t>
            </w:r>
            <w:r>
              <w:rPr>
                <w:rFonts w:ascii="Calibri" w:eastAsia="Times New Roman" w:hAnsi="Calibri" w:cs="Calibri"/>
                <w:color w:val="000000"/>
              </w:rPr>
              <w:t>s in the puma</w:t>
            </w:r>
          </w:p>
        </w:tc>
        <w:tc>
          <w:tcPr>
            <w:tcW w:w="1440" w:type="dxa"/>
            <w:noWrap/>
          </w:tcPr>
          <w:p w14:paraId="11274FD6"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tcPr>
          <w:p w14:paraId="2C2E7B71" w14:textId="781EC660"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0.00155</w:t>
            </w:r>
          </w:p>
        </w:tc>
        <w:tc>
          <w:tcPr>
            <w:tcW w:w="1260" w:type="dxa"/>
            <w:noWrap/>
          </w:tcPr>
          <w:p w14:paraId="0E426875"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20" w:type="dxa"/>
            <w:noWrap/>
          </w:tcPr>
          <w:p w14:paraId="24AE1225"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530" w:type="dxa"/>
            <w:noWrap/>
          </w:tcPr>
          <w:p w14:paraId="44FACD6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302AF" w:rsidRPr="003E6791" w14:paraId="4D9A1FBD"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6CD1DDD6" w14:textId="7DF2CA83" w:rsidR="000302AF" w:rsidRPr="003E6791" w:rsidRDefault="000302AF" w:rsidP="000302AF">
            <w:pPr>
              <w:rPr>
                <w:rFonts w:ascii="Calibri" w:eastAsia="Times New Roman" w:hAnsi="Calibri" w:cs="Calibri"/>
                <w:color w:val="000000"/>
              </w:rPr>
            </w:pPr>
            <w:r>
              <w:rPr>
                <w:rFonts w:ascii="Calibri" w:eastAsia="Times New Roman" w:hAnsi="Calibri" w:cs="Calibri"/>
                <w:color w:val="000000"/>
              </w:rPr>
              <w:t xml:space="preserve">    SE</w:t>
            </w:r>
            <w:r w:rsidR="005D455F">
              <w:rPr>
                <w:rFonts w:ascii="Calibri" w:eastAsia="Times New Roman" w:hAnsi="Calibri" w:cs="Calibri"/>
                <w:color w:val="000000"/>
              </w:rPr>
              <w:t>Ds</w:t>
            </w:r>
            <w:r>
              <w:rPr>
                <w:rFonts w:ascii="Calibri" w:eastAsia="Times New Roman" w:hAnsi="Calibri" w:cs="Calibri"/>
                <w:color w:val="000000"/>
              </w:rPr>
              <w:t xml:space="preserve"> in the puma</w:t>
            </w:r>
          </w:p>
        </w:tc>
        <w:tc>
          <w:tcPr>
            <w:tcW w:w="1440" w:type="dxa"/>
            <w:noWrap/>
          </w:tcPr>
          <w:p w14:paraId="4A38407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tcPr>
          <w:p w14:paraId="6B0F1563" w14:textId="4FAD381E"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0.0313</w:t>
            </w:r>
          </w:p>
        </w:tc>
        <w:tc>
          <w:tcPr>
            <w:tcW w:w="1260" w:type="dxa"/>
            <w:noWrap/>
          </w:tcPr>
          <w:p w14:paraId="3CB45B38"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20" w:type="dxa"/>
            <w:noWrap/>
          </w:tcPr>
          <w:p w14:paraId="6E1C4EAE"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530" w:type="dxa"/>
            <w:noWrap/>
          </w:tcPr>
          <w:p w14:paraId="4F035329"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0302AF" w:rsidRPr="003E6791" w14:paraId="20239D3B"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5B35D6D"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Avg. HH income/10k</w:t>
            </w:r>
          </w:p>
        </w:tc>
        <w:tc>
          <w:tcPr>
            <w:tcW w:w="1440" w:type="dxa"/>
            <w:noWrap/>
            <w:hideMark/>
          </w:tcPr>
          <w:p w14:paraId="6D13E03B"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0.0035</w:t>
            </w:r>
          </w:p>
        </w:tc>
        <w:tc>
          <w:tcPr>
            <w:tcW w:w="1440" w:type="dxa"/>
          </w:tcPr>
          <w:p w14:paraId="7393138E" w14:textId="434EAD24"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0.0036</w:t>
            </w:r>
          </w:p>
        </w:tc>
        <w:tc>
          <w:tcPr>
            <w:tcW w:w="1260" w:type="dxa"/>
            <w:noWrap/>
            <w:hideMark/>
          </w:tcPr>
          <w:p w14:paraId="0DEDDFD8" w14:textId="62F5322F"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0.0123</w:t>
            </w:r>
          </w:p>
        </w:tc>
        <w:tc>
          <w:tcPr>
            <w:tcW w:w="1620" w:type="dxa"/>
            <w:noWrap/>
            <w:hideMark/>
          </w:tcPr>
          <w:p w14:paraId="79B11A30"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-0.00333</w:t>
            </w:r>
          </w:p>
        </w:tc>
        <w:tc>
          <w:tcPr>
            <w:tcW w:w="1530" w:type="dxa"/>
            <w:noWrap/>
            <w:hideMark/>
          </w:tcPr>
          <w:p w14:paraId="1A469089"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-0.0541</w:t>
            </w:r>
          </w:p>
        </w:tc>
      </w:tr>
      <w:tr w:rsidR="000302AF" w:rsidRPr="003E6791" w14:paraId="0A2B6C8A"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53A286"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Pop Density/10k</w:t>
            </w:r>
          </w:p>
        </w:tc>
        <w:tc>
          <w:tcPr>
            <w:tcW w:w="1440" w:type="dxa"/>
            <w:noWrap/>
            <w:hideMark/>
          </w:tcPr>
          <w:p w14:paraId="508EAA19"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-0.7</w:t>
            </w:r>
          </w:p>
        </w:tc>
        <w:tc>
          <w:tcPr>
            <w:tcW w:w="1440" w:type="dxa"/>
          </w:tcPr>
          <w:p w14:paraId="0DF1A9D3" w14:textId="3C551A8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-0.75</w:t>
            </w:r>
          </w:p>
        </w:tc>
        <w:tc>
          <w:tcPr>
            <w:tcW w:w="1260" w:type="dxa"/>
            <w:noWrap/>
            <w:hideMark/>
          </w:tcPr>
          <w:p w14:paraId="1F9DF678" w14:textId="6C6230A9"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-1.071</w:t>
            </w:r>
          </w:p>
        </w:tc>
        <w:tc>
          <w:tcPr>
            <w:tcW w:w="1620" w:type="dxa"/>
            <w:noWrap/>
            <w:hideMark/>
          </w:tcPr>
          <w:p w14:paraId="0A05281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0.226</w:t>
            </w:r>
          </w:p>
        </w:tc>
        <w:tc>
          <w:tcPr>
            <w:tcW w:w="1530" w:type="dxa"/>
            <w:noWrap/>
            <w:hideMark/>
          </w:tcPr>
          <w:p w14:paraId="02E0EE8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1.751</w:t>
            </w:r>
          </w:p>
        </w:tc>
      </w:tr>
      <w:tr w:rsidR="000302AF" w:rsidRPr="003E6791" w14:paraId="42DBE419"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EEFA627"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 Hispanic</w:t>
            </w:r>
          </w:p>
        </w:tc>
        <w:tc>
          <w:tcPr>
            <w:tcW w:w="1440" w:type="dxa"/>
            <w:noWrap/>
            <w:hideMark/>
          </w:tcPr>
          <w:p w14:paraId="0AC60399"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-0.676*</w:t>
            </w:r>
          </w:p>
        </w:tc>
        <w:tc>
          <w:tcPr>
            <w:tcW w:w="1440" w:type="dxa"/>
          </w:tcPr>
          <w:p w14:paraId="039AAA7D" w14:textId="27E7FF85"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-0.686*</w:t>
            </w:r>
          </w:p>
        </w:tc>
        <w:tc>
          <w:tcPr>
            <w:tcW w:w="1260" w:type="dxa"/>
            <w:noWrap/>
            <w:hideMark/>
          </w:tcPr>
          <w:p w14:paraId="3352C70C" w14:textId="0B0CC2D2"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0.0972</w:t>
            </w:r>
          </w:p>
        </w:tc>
        <w:tc>
          <w:tcPr>
            <w:tcW w:w="1620" w:type="dxa"/>
            <w:noWrap/>
            <w:hideMark/>
          </w:tcPr>
          <w:p w14:paraId="09AAE151"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-0.156</w:t>
            </w:r>
          </w:p>
        </w:tc>
        <w:tc>
          <w:tcPr>
            <w:tcW w:w="1530" w:type="dxa"/>
            <w:noWrap/>
            <w:hideMark/>
          </w:tcPr>
          <w:p w14:paraId="7B929E9D"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0.0745</w:t>
            </w:r>
          </w:p>
        </w:tc>
      </w:tr>
      <w:tr w:rsidR="000302AF" w:rsidRPr="003E6791" w14:paraId="1E59D743"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8CA5EB0"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 Black</w:t>
            </w:r>
          </w:p>
        </w:tc>
        <w:tc>
          <w:tcPr>
            <w:tcW w:w="1440" w:type="dxa"/>
            <w:noWrap/>
            <w:hideMark/>
          </w:tcPr>
          <w:p w14:paraId="569F43FA"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-0.570*</w:t>
            </w:r>
          </w:p>
        </w:tc>
        <w:tc>
          <w:tcPr>
            <w:tcW w:w="1440" w:type="dxa"/>
          </w:tcPr>
          <w:p w14:paraId="7B3276DF" w14:textId="0A424D90"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-0.578*</w:t>
            </w:r>
          </w:p>
        </w:tc>
        <w:tc>
          <w:tcPr>
            <w:tcW w:w="1260" w:type="dxa"/>
            <w:noWrap/>
            <w:hideMark/>
          </w:tcPr>
          <w:p w14:paraId="61427343" w14:textId="5F8B39B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-1.058</w:t>
            </w:r>
          </w:p>
        </w:tc>
        <w:tc>
          <w:tcPr>
            <w:tcW w:w="1620" w:type="dxa"/>
            <w:noWrap/>
            <w:hideMark/>
          </w:tcPr>
          <w:p w14:paraId="4D4CCDF2"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0.0258</w:t>
            </w:r>
          </w:p>
        </w:tc>
        <w:tc>
          <w:tcPr>
            <w:tcW w:w="1530" w:type="dxa"/>
            <w:noWrap/>
            <w:hideMark/>
          </w:tcPr>
          <w:p w14:paraId="16859961"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-1.58</w:t>
            </w:r>
          </w:p>
        </w:tc>
      </w:tr>
      <w:tr w:rsidR="000302AF" w:rsidRPr="003E6791" w14:paraId="457DCCFA"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7A3E194"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age_above65</w:t>
            </w:r>
          </w:p>
        </w:tc>
        <w:tc>
          <w:tcPr>
            <w:tcW w:w="1440" w:type="dxa"/>
            <w:noWrap/>
            <w:hideMark/>
          </w:tcPr>
          <w:p w14:paraId="6511EC77"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1.572*</w:t>
            </w:r>
          </w:p>
        </w:tc>
        <w:tc>
          <w:tcPr>
            <w:tcW w:w="1440" w:type="dxa"/>
          </w:tcPr>
          <w:p w14:paraId="665C8008" w14:textId="2CA6424A"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1.523*</w:t>
            </w:r>
          </w:p>
        </w:tc>
        <w:tc>
          <w:tcPr>
            <w:tcW w:w="1260" w:type="dxa"/>
            <w:noWrap/>
            <w:hideMark/>
          </w:tcPr>
          <w:p w14:paraId="7C61CE7D" w14:textId="5A075534"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-0.877</w:t>
            </w:r>
          </w:p>
        </w:tc>
        <w:tc>
          <w:tcPr>
            <w:tcW w:w="1620" w:type="dxa"/>
            <w:noWrap/>
            <w:hideMark/>
          </w:tcPr>
          <w:p w14:paraId="4F3B81E0"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-0.382</w:t>
            </w:r>
          </w:p>
        </w:tc>
        <w:tc>
          <w:tcPr>
            <w:tcW w:w="1530" w:type="dxa"/>
            <w:noWrap/>
            <w:hideMark/>
          </w:tcPr>
          <w:p w14:paraId="38F260F1"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-2.577</w:t>
            </w:r>
          </w:p>
        </w:tc>
      </w:tr>
      <w:tr w:rsidR="000302AF" w:rsidRPr="003E6791" w14:paraId="6C6ABA4A"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62D5AFB" w14:textId="3F252356"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2011</w:t>
            </w:r>
          </w:p>
        </w:tc>
        <w:tc>
          <w:tcPr>
            <w:tcW w:w="1440" w:type="dxa"/>
            <w:noWrap/>
            <w:hideMark/>
          </w:tcPr>
          <w:p w14:paraId="1507FF9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0.0425***</w:t>
            </w:r>
          </w:p>
        </w:tc>
        <w:tc>
          <w:tcPr>
            <w:tcW w:w="1440" w:type="dxa"/>
          </w:tcPr>
          <w:p w14:paraId="33D22C02" w14:textId="0149D479" w:rsidR="000302AF" w:rsidRPr="000302AF"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0.0427***</w:t>
            </w:r>
          </w:p>
        </w:tc>
        <w:tc>
          <w:tcPr>
            <w:tcW w:w="1260" w:type="dxa"/>
            <w:noWrap/>
            <w:hideMark/>
          </w:tcPr>
          <w:p w14:paraId="76CDFB8A" w14:textId="05A8B270"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5737D04C"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0" w:type="dxa"/>
            <w:noWrap/>
            <w:hideMark/>
          </w:tcPr>
          <w:p w14:paraId="133ED47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302AF" w:rsidRPr="003E6791" w14:paraId="3F9C1381"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579A4E3"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2012</w:t>
            </w:r>
          </w:p>
        </w:tc>
        <w:tc>
          <w:tcPr>
            <w:tcW w:w="1440" w:type="dxa"/>
            <w:noWrap/>
            <w:hideMark/>
          </w:tcPr>
          <w:p w14:paraId="36B789FB"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0.0661***</w:t>
            </w:r>
          </w:p>
        </w:tc>
        <w:tc>
          <w:tcPr>
            <w:tcW w:w="1440" w:type="dxa"/>
          </w:tcPr>
          <w:p w14:paraId="10CBC953" w14:textId="0868D34B" w:rsidR="000302AF" w:rsidRP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0.0655***</w:t>
            </w:r>
          </w:p>
        </w:tc>
        <w:tc>
          <w:tcPr>
            <w:tcW w:w="1260" w:type="dxa"/>
            <w:noWrap/>
            <w:hideMark/>
          </w:tcPr>
          <w:p w14:paraId="0A5FDAFC" w14:textId="20EF20D8"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1A60A5A7"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0" w:type="dxa"/>
            <w:noWrap/>
            <w:hideMark/>
          </w:tcPr>
          <w:p w14:paraId="08BFC2AD"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302AF" w:rsidRPr="003E6791" w14:paraId="08A7C7F2"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1A51F97"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2013</w:t>
            </w:r>
          </w:p>
        </w:tc>
        <w:tc>
          <w:tcPr>
            <w:tcW w:w="1440" w:type="dxa"/>
            <w:noWrap/>
            <w:hideMark/>
          </w:tcPr>
          <w:p w14:paraId="16B9DAF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0.0614***</w:t>
            </w:r>
          </w:p>
        </w:tc>
        <w:tc>
          <w:tcPr>
            <w:tcW w:w="1440" w:type="dxa"/>
          </w:tcPr>
          <w:p w14:paraId="4B81FBC5" w14:textId="387E939A"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0.0612***</w:t>
            </w:r>
          </w:p>
        </w:tc>
        <w:tc>
          <w:tcPr>
            <w:tcW w:w="1260" w:type="dxa"/>
            <w:noWrap/>
            <w:hideMark/>
          </w:tcPr>
          <w:p w14:paraId="4833BC4C" w14:textId="74F73A3C"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-0.0718**</w:t>
            </w:r>
          </w:p>
        </w:tc>
        <w:tc>
          <w:tcPr>
            <w:tcW w:w="1620" w:type="dxa"/>
            <w:noWrap/>
            <w:hideMark/>
          </w:tcPr>
          <w:p w14:paraId="03CB7B37"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-0.0145</w:t>
            </w:r>
          </w:p>
        </w:tc>
        <w:tc>
          <w:tcPr>
            <w:tcW w:w="1530" w:type="dxa"/>
            <w:noWrap/>
            <w:hideMark/>
          </w:tcPr>
          <w:p w14:paraId="3042AB06"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-0.187***</w:t>
            </w:r>
          </w:p>
        </w:tc>
      </w:tr>
      <w:tr w:rsidR="000302AF" w:rsidRPr="003E6791" w14:paraId="66062FB0"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7AE3C53"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2014</w:t>
            </w:r>
          </w:p>
        </w:tc>
        <w:tc>
          <w:tcPr>
            <w:tcW w:w="1440" w:type="dxa"/>
            <w:noWrap/>
            <w:hideMark/>
          </w:tcPr>
          <w:p w14:paraId="624CF279"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0.0596**</w:t>
            </w:r>
          </w:p>
        </w:tc>
        <w:tc>
          <w:tcPr>
            <w:tcW w:w="1440" w:type="dxa"/>
          </w:tcPr>
          <w:p w14:paraId="46824E44" w14:textId="6AF1587E"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0.0601***</w:t>
            </w:r>
          </w:p>
        </w:tc>
        <w:tc>
          <w:tcPr>
            <w:tcW w:w="1260" w:type="dxa"/>
            <w:noWrap/>
            <w:hideMark/>
          </w:tcPr>
          <w:p w14:paraId="2E0DB02A" w14:textId="54A484AA"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-0.270***</w:t>
            </w:r>
          </w:p>
        </w:tc>
        <w:tc>
          <w:tcPr>
            <w:tcW w:w="1620" w:type="dxa"/>
            <w:noWrap/>
            <w:hideMark/>
          </w:tcPr>
          <w:p w14:paraId="5E2BF780"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0.0195</w:t>
            </w:r>
          </w:p>
        </w:tc>
        <w:tc>
          <w:tcPr>
            <w:tcW w:w="1530" w:type="dxa"/>
            <w:noWrap/>
            <w:hideMark/>
          </w:tcPr>
          <w:p w14:paraId="57C2C4D6"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-0.158**</w:t>
            </w:r>
          </w:p>
        </w:tc>
      </w:tr>
      <w:tr w:rsidR="000302AF" w:rsidRPr="003E6791" w14:paraId="779BF2A4"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6606D00"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2015</w:t>
            </w:r>
          </w:p>
        </w:tc>
        <w:tc>
          <w:tcPr>
            <w:tcW w:w="1440" w:type="dxa"/>
            <w:noWrap/>
            <w:hideMark/>
          </w:tcPr>
          <w:p w14:paraId="0C42485C"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0.0675**</w:t>
            </w:r>
          </w:p>
        </w:tc>
        <w:tc>
          <w:tcPr>
            <w:tcW w:w="1440" w:type="dxa"/>
          </w:tcPr>
          <w:p w14:paraId="1F9C8946" w14:textId="47DCBE54"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0.0686***</w:t>
            </w:r>
          </w:p>
        </w:tc>
        <w:tc>
          <w:tcPr>
            <w:tcW w:w="1260" w:type="dxa"/>
            <w:noWrap/>
            <w:hideMark/>
          </w:tcPr>
          <w:p w14:paraId="1EEB8F02" w14:textId="10015EBF"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-0.418***</w:t>
            </w:r>
          </w:p>
        </w:tc>
        <w:tc>
          <w:tcPr>
            <w:tcW w:w="1620" w:type="dxa"/>
            <w:noWrap/>
            <w:hideMark/>
          </w:tcPr>
          <w:p w14:paraId="4DD9FA18"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0.0114</w:t>
            </w:r>
          </w:p>
        </w:tc>
        <w:tc>
          <w:tcPr>
            <w:tcW w:w="1530" w:type="dxa"/>
            <w:noWrap/>
            <w:hideMark/>
          </w:tcPr>
          <w:p w14:paraId="3E5C57AA"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-0.227***</w:t>
            </w:r>
          </w:p>
        </w:tc>
      </w:tr>
      <w:tr w:rsidR="000302AF" w:rsidRPr="003E6791" w14:paraId="7F9CCF20"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4B86E45"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year = 2016</w:t>
            </w:r>
          </w:p>
        </w:tc>
        <w:tc>
          <w:tcPr>
            <w:tcW w:w="1440" w:type="dxa"/>
            <w:noWrap/>
            <w:hideMark/>
          </w:tcPr>
          <w:p w14:paraId="226B2E1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0.0352</w:t>
            </w:r>
          </w:p>
        </w:tc>
        <w:tc>
          <w:tcPr>
            <w:tcW w:w="1440" w:type="dxa"/>
          </w:tcPr>
          <w:p w14:paraId="010A3174" w14:textId="7A7E6D5C"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0.0347</w:t>
            </w:r>
          </w:p>
        </w:tc>
        <w:tc>
          <w:tcPr>
            <w:tcW w:w="1260" w:type="dxa"/>
            <w:noWrap/>
            <w:hideMark/>
          </w:tcPr>
          <w:p w14:paraId="63C72D87" w14:textId="534B0BA2"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-0.529***</w:t>
            </w:r>
          </w:p>
        </w:tc>
        <w:tc>
          <w:tcPr>
            <w:tcW w:w="1620" w:type="dxa"/>
            <w:noWrap/>
            <w:hideMark/>
          </w:tcPr>
          <w:p w14:paraId="6B2A70CD"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-0.00886</w:t>
            </w:r>
          </w:p>
        </w:tc>
        <w:tc>
          <w:tcPr>
            <w:tcW w:w="1530" w:type="dxa"/>
            <w:noWrap/>
            <w:hideMark/>
          </w:tcPr>
          <w:p w14:paraId="563663BB"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-0.328***</w:t>
            </w:r>
          </w:p>
        </w:tc>
      </w:tr>
      <w:tr w:rsidR="000302AF" w:rsidRPr="003E6791" w14:paraId="4973D0C0"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DC308CB"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Constant</w:t>
            </w:r>
          </w:p>
        </w:tc>
        <w:tc>
          <w:tcPr>
            <w:tcW w:w="1440" w:type="dxa"/>
            <w:noWrap/>
            <w:hideMark/>
          </w:tcPr>
          <w:p w14:paraId="7E352B7C"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10.96***</w:t>
            </w:r>
          </w:p>
        </w:tc>
        <w:tc>
          <w:tcPr>
            <w:tcW w:w="1440" w:type="dxa"/>
          </w:tcPr>
          <w:p w14:paraId="516C23EF" w14:textId="5F36623F"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10.97***</w:t>
            </w:r>
          </w:p>
        </w:tc>
        <w:tc>
          <w:tcPr>
            <w:tcW w:w="1260" w:type="dxa"/>
            <w:noWrap/>
            <w:hideMark/>
          </w:tcPr>
          <w:p w14:paraId="3FCB259C" w14:textId="7F17DC52"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3.990***</w:t>
            </w:r>
          </w:p>
        </w:tc>
        <w:tc>
          <w:tcPr>
            <w:tcW w:w="1620" w:type="dxa"/>
            <w:noWrap/>
            <w:hideMark/>
          </w:tcPr>
          <w:p w14:paraId="6F6E9FE5"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5.072***</w:t>
            </w:r>
          </w:p>
        </w:tc>
        <w:tc>
          <w:tcPr>
            <w:tcW w:w="1530" w:type="dxa"/>
            <w:noWrap/>
            <w:hideMark/>
          </w:tcPr>
          <w:p w14:paraId="01F90650"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0.425</w:t>
            </w:r>
          </w:p>
        </w:tc>
      </w:tr>
      <w:tr w:rsidR="000302AF" w:rsidRPr="003E6791" w14:paraId="471355FA"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B1C3D9A"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Obs.</w:t>
            </w:r>
          </w:p>
        </w:tc>
        <w:tc>
          <w:tcPr>
            <w:tcW w:w="1440" w:type="dxa"/>
            <w:noWrap/>
            <w:hideMark/>
          </w:tcPr>
          <w:p w14:paraId="0574245A"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2,590</w:t>
            </w:r>
          </w:p>
        </w:tc>
        <w:tc>
          <w:tcPr>
            <w:tcW w:w="1440" w:type="dxa"/>
          </w:tcPr>
          <w:p w14:paraId="179A73BE" w14:textId="44640698"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2,590</w:t>
            </w:r>
          </w:p>
        </w:tc>
        <w:tc>
          <w:tcPr>
            <w:tcW w:w="1260" w:type="dxa"/>
            <w:noWrap/>
            <w:hideMark/>
          </w:tcPr>
          <w:p w14:paraId="0E9E0D96" w14:textId="3CAB6DA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1,380</w:t>
            </w:r>
          </w:p>
        </w:tc>
        <w:tc>
          <w:tcPr>
            <w:tcW w:w="1620" w:type="dxa"/>
            <w:noWrap/>
            <w:hideMark/>
          </w:tcPr>
          <w:p w14:paraId="607BF727"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1,380</w:t>
            </w:r>
          </w:p>
        </w:tc>
        <w:tc>
          <w:tcPr>
            <w:tcW w:w="1530" w:type="dxa"/>
            <w:noWrap/>
            <w:hideMark/>
          </w:tcPr>
          <w:p w14:paraId="0EC56DD6" w14:textId="77777777" w:rsidR="000302AF" w:rsidRPr="003E6791"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1,350</w:t>
            </w:r>
          </w:p>
        </w:tc>
      </w:tr>
      <w:tr w:rsidR="000302AF" w:rsidRPr="003E6791" w14:paraId="2FA0612C"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0FF1530B" w14:textId="773C34A6" w:rsidR="000302AF" w:rsidRPr="003E6791" w:rsidRDefault="000302AF" w:rsidP="000302AF">
            <w:pPr>
              <w:rPr>
                <w:rFonts w:ascii="Calibri" w:eastAsia="Times New Roman" w:hAnsi="Calibri" w:cs="Calibri"/>
                <w:color w:val="000000"/>
              </w:rPr>
            </w:pPr>
            <w:r>
              <w:rPr>
                <w:rFonts w:ascii="Calibri" w:eastAsia="Times New Roman" w:hAnsi="Calibri" w:cs="Calibri"/>
                <w:color w:val="000000"/>
              </w:rPr>
              <w:t>Hospitals</w:t>
            </w:r>
          </w:p>
        </w:tc>
        <w:tc>
          <w:tcPr>
            <w:tcW w:w="1440" w:type="dxa"/>
            <w:noWrap/>
          </w:tcPr>
          <w:p w14:paraId="380B7C5A" w14:textId="4B3AFB42"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440" w:type="dxa"/>
          </w:tcPr>
          <w:p w14:paraId="2BAE5ABE" w14:textId="727F6CE7" w:rsidR="000302AF" w:rsidRPr="000302AF"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260" w:type="dxa"/>
            <w:noWrap/>
          </w:tcPr>
          <w:p w14:paraId="5ADC00E4" w14:textId="639B1EDD"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620" w:type="dxa"/>
            <w:noWrap/>
          </w:tcPr>
          <w:p w14:paraId="451B0AD0" w14:textId="531D17FE"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530" w:type="dxa"/>
            <w:noWrap/>
          </w:tcPr>
          <w:p w14:paraId="397A9B30" w14:textId="780D2CD1"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270</w:t>
            </w:r>
          </w:p>
        </w:tc>
      </w:tr>
      <w:tr w:rsidR="000302AF" w:rsidRPr="003E6791" w14:paraId="7331B0FF"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4D24A1CF" w14:textId="6F065132" w:rsidR="000302AF" w:rsidRDefault="000302AF" w:rsidP="000302AF">
            <w:pPr>
              <w:rPr>
                <w:rFonts w:ascii="Calibri" w:eastAsia="Times New Roman" w:hAnsi="Calibri" w:cs="Calibri"/>
                <w:color w:val="000000"/>
              </w:rPr>
            </w:pPr>
            <w:r>
              <w:rPr>
                <w:rFonts w:ascii="Calibri" w:eastAsia="Times New Roman" w:hAnsi="Calibri" w:cs="Calibri"/>
                <w:color w:val="000000"/>
              </w:rPr>
              <w:t>Hospital Fixed Eff.</w:t>
            </w:r>
          </w:p>
        </w:tc>
        <w:tc>
          <w:tcPr>
            <w:tcW w:w="1440" w:type="dxa"/>
            <w:noWrap/>
          </w:tcPr>
          <w:p w14:paraId="116056A6" w14:textId="04B1F0B0"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440" w:type="dxa"/>
          </w:tcPr>
          <w:p w14:paraId="37E8C69E" w14:textId="688B7E4F"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260" w:type="dxa"/>
            <w:noWrap/>
          </w:tcPr>
          <w:p w14:paraId="78186A98" w14:textId="76A96004"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620" w:type="dxa"/>
            <w:noWrap/>
          </w:tcPr>
          <w:p w14:paraId="5BBE4932" w14:textId="04A40DA0"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530" w:type="dxa"/>
            <w:noWrap/>
          </w:tcPr>
          <w:p w14:paraId="2E0AE64C" w14:textId="29CBF7BB" w:rsidR="000302AF" w:rsidRDefault="000302AF" w:rsidP="000302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r>
      <w:tr w:rsidR="000302AF" w:rsidRPr="003E6791" w14:paraId="39473F8A"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BD62A3E" w14:textId="77777777" w:rsidR="000302AF" w:rsidRPr="003E6791" w:rsidRDefault="000302AF" w:rsidP="000302AF">
            <w:pPr>
              <w:rPr>
                <w:rFonts w:ascii="Calibri" w:eastAsia="Times New Roman" w:hAnsi="Calibri" w:cs="Calibri"/>
                <w:color w:val="000000"/>
              </w:rPr>
            </w:pPr>
            <w:r w:rsidRPr="003E6791">
              <w:rPr>
                <w:rFonts w:ascii="Calibri" w:eastAsia="Times New Roman" w:hAnsi="Calibri" w:cs="Calibri"/>
                <w:color w:val="000000"/>
              </w:rPr>
              <w:t>Weights</w:t>
            </w:r>
          </w:p>
        </w:tc>
        <w:tc>
          <w:tcPr>
            <w:tcW w:w="1440" w:type="dxa"/>
            <w:noWrap/>
            <w:hideMark/>
          </w:tcPr>
          <w:p w14:paraId="721F5EDE"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NO</w:t>
            </w:r>
          </w:p>
        </w:tc>
        <w:tc>
          <w:tcPr>
            <w:tcW w:w="1440" w:type="dxa"/>
          </w:tcPr>
          <w:p w14:paraId="70A3145C" w14:textId="4C5DCAC9"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02AF">
              <w:rPr>
                <w:rFonts w:ascii="Calibri" w:eastAsia="Times New Roman" w:hAnsi="Calibri" w:cs="Calibri"/>
                <w:color w:val="000000"/>
              </w:rPr>
              <w:t>NO</w:t>
            </w:r>
          </w:p>
        </w:tc>
        <w:tc>
          <w:tcPr>
            <w:tcW w:w="1260" w:type="dxa"/>
            <w:noWrap/>
            <w:hideMark/>
          </w:tcPr>
          <w:p w14:paraId="65FEFE81" w14:textId="1B56EBDC"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ED Visits</w:t>
            </w:r>
          </w:p>
        </w:tc>
        <w:tc>
          <w:tcPr>
            <w:tcW w:w="1620" w:type="dxa"/>
            <w:noWrap/>
            <w:hideMark/>
          </w:tcPr>
          <w:p w14:paraId="027682DE"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ED Visits</w:t>
            </w:r>
          </w:p>
        </w:tc>
        <w:tc>
          <w:tcPr>
            <w:tcW w:w="1530" w:type="dxa"/>
            <w:noWrap/>
            <w:hideMark/>
          </w:tcPr>
          <w:p w14:paraId="1787369F" w14:textId="77777777" w:rsidR="000302AF" w:rsidRPr="003E6791" w:rsidRDefault="000302AF" w:rsidP="000302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E6791">
              <w:rPr>
                <w:rFonts w:ascii="Calibri" w:eastAsia="Times New Roman" w:hAnsi="Calibri" w:cs="Calibri"/>
                <w:color w:val="000000"/>
              </w:rPr>
              <w:t>ED Visits</w:t>
            </w:r>
          </w:p>
        </w:tc>
      </w:tr>
    </w:tbl>
    <w:p w14:paraId="75642813" w14:textId="4A31727F" w:rsidR="005D455F" w:rsidRDefault="005D455F" w:rsidP="005D455F">
      <w:pPr>
        <w:spacing w:after="0" w:line="240" w:lineRule="auto"/>
        <w:jc w:val="both"/>
        <w:rPr>
          <w:rFonts w:cstheme="minorHAnsi"/>
          <w:color w:val="231F20"/>
          <w:sz w:val="18"/>
          <w:szCs w:val="18"/>
        </w:rPr>
      </w:pPr>
      <w:r w:rsidRPr="005D455F">
        <w:rPr>
          <w:rFonts w:cstheme="minorHAnsi"/>
          <w:b/>
          <w:color w:val="231F20"/>
          <w:sz w:val="18"/>
          <w:szCs w:val="18"/>
        </w:rPr>
        <w:t>Note:</w:t>
      </w:r>
      <w:r w:rsidRPr="005D455F">
        <w:rPr>
          <w:rFonts w:cstheme="minorHAnsi"/>
          <w:color w:val="231F20"/>
          <w:sz w:val="18"/>
          <w:szCs w:val="18"/>
        </w:rPr>
        <w:t xml:space="preserve"> SED, IFED, and HBED are short for satellite ED, independent freestanding ED, and Hospital-based ED. </w:t>
      </w:r>
    </w:p>
    <w:p w14:paraId="01492613" w14:textId="77777777" w:rsidR="005D455F" w:rsidRPr="005D455F" w:rsidRDefault="005D455F" w:rsidP="005D455F">
      <w:pPr>
        <w:spacing w:after="0" w:line="240" w:lineRule="auto"/>
        <w:jc w:val="both"/>
        <w:rPr>
          <w:rFonts w:cstheme="minorHAnsi"/>
          <w:color w:val="231F20"/>
          <w:sz w:val="18"/>
          <w:szCs w:val="18"/>
        </w:rPr>
      </w:pPr>
      <w:r w:rsidRPr="005D455F">
        <w:rPr>
          <w:rFonts w:cstheme="minorHAnsi"/>
          <w:color w:val="231F20"/>
          <w:sz w:val="18"/>
          <w:szCs w:val="18"/>
        </w:rPr>
        <w:t>*** p&lt;0.01, ** p&lt;0.05, * p&lt;0.1</w:t>
      </w:r>
    </w:p>
    <w:p w14:paraId="66024CCC" w14:textId="77777777" w:rsidR="005D455F" w:rsidRPr="005D455F" w:rsidRDefault="005D455F" w:rsidP="005D455F">
      <w:pPr>
        <w:spacing w:after="0" w:line="240" w:lineRule="auto"/>
        <w:jc w:val="both"/>
        <w:rPr>
          <w:rFonts w:cstheme="minorHAnsi"/>
          <w:color w:val="231F20"/>
          <w:sz w:val="18"/>
          <w:szCs w:val="18"/>
        </w:rPr>
      </w:pPr>
    </w:p>
    <w:p w14:paraId="65B978CE" w14:textId="3B2EAEFF" w:rsidR="005224EA" w:rsidRPr="008A3C15" w:rsidRDefault="005224EA">
      <w:pPr>
        <w:rPr>
          <w:rFonts w:cstheme="minorHAnsi"/>
          <w:b/>
          <w:color w:val="FF0000"/>
          <w:sz w:val="44"/>
          <w:szCs w:val="44"/>
        </w:rPr>
      </w:pPr>
      <w:r w:rsidRPr="008A3C15">
        <w:rPr>
          <w:rFonts w:cstheme="minorHAnsi"/>
          <w:b/>
          <w:color w:val="FF0000"/>
          <w:sz w:val="44"/>
          <w:szCs w:val="44"/>
        </w:rPr>
        <w:t>Discussion</w:t>
      </w:r>
    </w:p>
    <w:p w14:paraId="16AC3B36" w14:textId="758D6372" w:rsidR="002062CD" w:rsidRDefault="00DA5C4E" w:rsidP="002062CD">
      <w:pPr>
        <w:jc w:val="both"/>
        <w:rPr>
          <w:rFonts w:cstheme="minorHAnsi"/>
          <w:color w:val="231F20"/>
        </w:rPr>
      </w:pPr>
      <w:r w:rsidRPr="002062CD">
        <w:rPr>
          <w:rFonts w:cstheme="minorHAnsi"/>
          <w:color w:val="231F20"/>
        </w:rPr>
        <w:t xml:space="preserve">In this study, I did not find the evidence that the entry of freestanding EDs </w:t>
      </w:r>
      <w:r>
        <w:rPr>
          <w:rFonts w:cstheme="minorHAnsi"/>
          <w:color w:val="231F20"/>
        </w:rPr>
        <w:t>relieve</w:t>
      </w:r>
      <w:r w:rsidR="007526F5">
        <w:rPr>
          <w:rFonts w:cstheme="minorHAnsi"/>
          <w:color w:val="231F20"/>
        </w:rPr>
        <w:t>d</w:t>
      </w:r>
      <w:r>
        <w:rPr>
          <w:rFonts w:cstheme="minorHAnsi"/>
          <w:color w:val="231F20"/>
        </w:rPr>
        <w:t xml:space="preserve"> ED visits</w:t>
      </w:r>
      <w:r w:rsidRPr="002062CD">
        <w:rPr>
          <w:rFonts w:cstheme="minorHAnsi"/>
          <w:color w:val="231F20"/>
        </w:rPr>
        <w:t xml:space="preserve"> in hospitals</w:t>
      </w:r>
      <w:r w:rsidR="0062738F">
        <w:rPr>
          <w:rFonts w:cstheme="minorHAnsi"/>
          <w:color w:val="231F20"/>
        </w:rPr>
        <w:t xml:space="preserve">. </w:t>
      </w:r>
      <w:r w:rsidR="00DD43F5">
        <w:rPr>
          <w:rFonts w:cstheme="minorHAnsi"/>
          <w:color w:val="231F20"/>
        </w:rPr>
        <w:t xml:space="preserve">However, the booming </w:t>
      </w:r>
      <w:r>
        <w:rPr>
          <w:rFonts w:cstheme="minorHAnsi"/>
          <w:color w:val="231F20"/>
        </w:rPr>
        <w:t xml:space="preserve">and survival </w:t>
      </w:r>
      <w:r w:rsidR="00DD43F5">
        <w:rPr>
          <w:rFonts w:cstheme="minorHAnsi"/>
          <w:color w:val="231F20"/>
        </w:rPr>
        <w:t xml:space="preserve">of freestanding EDs </w:t>
      </w:r>
      <w:r>
        <w:rPr>
          <w:rFonts w:cstheme="minorHAnsi"/>
          <w:color w:val="231F20"/>
        </w:rPr>
        <w:t xml:space="preserve">in Texas </w:t>
      </w:r>
      <w:r w:rsidR="00AC14AF">
        <w:rPr>
          <w:rFonts w:cstheme="minorHAnsi"/>
          <w:color w:val="231F20"/>
        </w:rPr>
        <w:t>suggest</w:t>
      </w:r>
      <w:r w:rsidR="007526F5">
        <w:rPr>
          <w:rFonts w:cstheme="minorHAnsi"/>
          <w:color w:val="231F20"/>
        </w:rPr>
        <w:t>ed</w:t>
      </w:r>
      <w:r w:rsidR="00DD43F5">
        <w:rPr>
          <w:rFonts w:cstheme="minorHAnsi"/>
          <w:color w:val="231F20"/>
        </w:rPr>
        <w:t xml:space="preserve"> freestanding EDs f</w:t>
      </w:r>
      <w:r w:rsidR="007526F5">
        <w:rPr>
          <w:rFonts w:cstheme="minorHAnsi"/>
          <w:color w:val="231F20"/>
        </w:rPr>
        <w:t>ound</w:t>
      </w:r>
      <w:r w:rsidR="00DD43F5">
        <w:rPr>
          <w:rFonts w:cstheme="minorHAnsi"/>
          <w:color w:val="231F20"/>
        </w:rPr>
        <w:t xml:space="preserve"> </w:t>
      </w:r>
      <w:r>
        <w:rPr>
          <w:rFonts w:cstheme="minorHAnsi"/>
          <w:color w:val="231F20"/>
        </w:rPr>
        <w:t>their business</w:t>
      </w:r>
      <w:r w:rsidR="00DD43F5">
        <w:rPr>
          <w:rFonts w:cstheme="minorHAnsi"/>
          <w:color w:val="231F20"/>
        </w:rPr>
        <w:t xml:space="preserve"> in local communities</w:t>
      </w:r>
      <w:r w:rsidR="00704457">
        <w:rPr>
          <w:rFonts w:cstheme="minorHAnsi"/>
          <w:color w:val="231F20"/>
        </w:rPr>
        <w:t xml:space="preserve">. It </w:t>
      </w:r>
      <w:r w:rsidR="007526F5">
        <w:rPr>
          <w:rFonts w:cstheme="minorHAnsi"/>
          <w:color w:val="231F20"/>
        </w:rPr>
        <w:t>also suggested that</w:t>
      </w:r>
      <w:r w:rsidR="00704457">
        <w:rPr>
          <w:rFonts w:cstheme="minorHAnsi"/>
          <w:color w:val="231F20"/>
        </w:rPr>
        <w:t xml:space="preserve"> the</w:t>
      </w:r>
      <w:r>
        <w:rPr>
          <w:rFonts w:cstheme="minorHAnsi"/>
          <w:color w:val="231F20"/>
        </w:rPr>
        <w:t xml:space="preserve"> emergency service </w:t>
      </w:r>
      <w:r w:rsidR="00704457">
        <w:rPr>
          <w:rFonts w:cstheme="minorHAnsi"/>
          <w:color w:val="231F20"/>
        </w:rPr>
        <w:t>market</w:t>
      </w:r>
      <w:r w:rsidR="0014115B">
        <w:rPr>
          <w:rFonts w:cstheme="minorHAnsi"/>
          <w:color w:val="231F20"/>
        </w:rPr>
        <w:t>s</w:t>
      </w:r>
      <w:r w:rsidR="00704457">
        <w:rPr>
          <w:rFonts w:cstheme="minorHAnsi"/>
          <w:color w:val="231F20"/>
        </w:rPr>
        <w:t xml:space="preserve"> </w:t>
      </w:r>
      <w:r>
        <w:rPr>
          <w:rFonts w:cstheme="minorHAnsi"/>
          <w:color w:val="231F20"/>
        </w:rPr>
        <w:t>expand</w:t>
      </w:r>
      <w:r w:rsidR="007526F5">
        <w:rPr>
          <w:rFonts w:cstheme="minorHAnsi"/>
          <w:color w:val="231F20"/>
        </w:rPr>
        <w:t>ed</w:t>
      </w:r>
      <w:r>
        <w:rPr>
          <w:rFonts w:cstheme="minorHAnsi"/>
          <w:color w:val="231F20"/>
        </w:rPr>
        <w:t xml:space="preserve"> by introducing more choices</w:t>
      </w:r>
      <w:r w:rsidR="00704457">
        <w:rPr>
          <w:rFonts w:cstheme="minorHAnsi"/>
          <w:color w:val="231F20"/>
        </w:rPr>
        <w:t xml:space="preserve"> to consumers, </w:t>
      </w:r>
      <w:r w:rsidR="0014115B">
        <w:rPr>
          <w:rFonts w:cstheme="minorHAnsi"/>
          <w:color w:val="231F20"/>
        </w:rPr>
        <w:t>with</w:t>
      </w:r>
      <w:r w:rsidR="00CC4842">
        <w:rPr>
          <w:rFonts w:cstheme="minorHAnsi"/>
          <w:color w:val="231F20"/>
        </w:rPr>
        <w:t xml:space="preserve"> an</w:t>
      </w:r>
      <w:r w:rsidR="00704457">
        <w:rPr>
          <w:rFonts w:cstheme="minorHAnsi"/>
          <w:color w:val="231F20"/>
        </w:rPr>
        <w:t xml:space="preserve"> increase in healthcare expenditure</w:t>
      </w:r>
      <w:r>
        <w:rPr>
          <w:rFonts w:cstheme="minorHAnsi"/>
          <w:color w:val="231F20"/>
        </w:rPr>
        <w:t xml:space="preserve">. </w:t>
      </w:r>
      <w:r w:rsidR="00704457">
        <w:rPr>
          <w:rFonts w:cstheme="minorHAnsi"/>
          <w:color w:val="231F20"/>
        </w:rPr>
        <w:t>The freestanding EDs</w:t>
      </w:r>
      <w:r w:rsidR="002062CD" w:rsidRPr="002062CD">
        <w:rPr>
          <w:rFonts w:cstheme="minorHAnsi"/>
          <w:color w:val="231F20"/>
        </w:rPr>
        <w:t xml:space="preserve"> might compete with primary care and urgent care in local communities</w:t>
      </w:r>
      <w:r w:rsidR="00CC4842">
        <w:rPr>
          <w:rFonts w:cstheme="minorHAnsi"/>
          <w:color w:val="231F20"/>
        </w:rPr>
        <w:t>.</w:t>
      </w:r>
      <w:r w:rsidR="002062CD" w:rsidRPr="002062CD">
        <w:rPr>
          <w:rFonts w:cstheme="minorHAnsi"/>
          <w:color w:val="231F20"/>
        </w:rPr>
        <w:t xml:space="preserve"> </w:t>
      </w:r>
      <w:r w:rsidR="00CC4842">
        <w:rPr>
          <w:rFonts w:cstheme="minorHAnsi"/>
          <w:color w:val="231F20"/>
        </w:rPr>
        <w:t>B</w:t>
      </w:r>
      <w:r w:rsidR="002062CD" w:rsidRPr="002062CD">
        <w:rPr>
          <w:rFonts w:cstheme="minorHAnsi"/>
          <w:color w:val="231F20"/>
        </w:rPr>
        <w:t>y offering high-profit services to non-emergency patients</w:t>
      </w:r>
      <w:r w:rsidR="00CC4842">
        <w:rPr>
          <w:rFonts w:cstheme="minorHAnsi"/>
          <w:color w:val="231F20"/>
        </w:rPr>
        <w:t>,</w:t>
      </w:r>
      <w:r w:rsidR="002062CD" w:rsidRPr="002062CD">
        <w:rPr>
          <w:rFonts w:cstheme="minorHAnsi"/>
          <w:color w:val="231F20"/>
        </w:rPr>
        <w:t xml:space="preserve"> </w:t>
      </w:r>
      <w:r w:rsidR="00CC4842">
        <w:rPr>
          <w:rFonts w:cstheme="minorHAnsi"/>
          <w:color w:val="231F20"/>
        </w:rPr>
        <w:t>they</w:t>
      </w:r>
      <w:r w:rsidR="002062CD" w:rsidRPr="002062CD">
        <w:rPr>
          <w:rFonts w:cstheme="minorHAnsi"/>
          <w:color w:val="231F20"/>
        </w:rPr>
        <w:t xml:space="preserve"> add</w:t>
      </w:r>
      <w:r w:rsidR="00CC4842">
        <w:rPr>
          <w:rFonts w:cstheme="minorHAnsi"/>
          <w:color w:val="231F20"/>
        </w:rPr>
        <w:t>ed</w:t>
      </w:r>
      <w:r w:rsidR="002062CD" w:rsidRPr="002062CD">
        <w:rPr>
          <w:rFonts w:cstheme="minorHAnsi"/>
          <w:color w:val="231F20"/>
        </w:rPr>
        <w:t xml:space="preserve"> burden to the already-expensive healthcare system by functioning as luxury products to well-insured patients. </w:t>
      </w:r>
      <w:r w:rsidR="00CC4842">
        <w:rPr>
          <w:rFonts w:cstheme="minorHAnsi"/>
          <w:color w:val="231F20"/>
        </w:rPr>
        <w:t xml:space="preserve">Previous work </w:t>
      </w:r>
      <w:r w:rsidR="00CC4842" w:rsidRPr="002062CD">
        <w:rPr>
          <w:rFonts w:cstheme="minorHAnsi"/>
          <w:color w:val="231F20"/>
        </w:rPr>
        <w:t>(Pines 2018)</w:t>
      </w:r>
      <w:r w:rsidR="00CC4842">
        <w:rPr>
          <w:rFonts w:cstheme="minorHAnsi"/>
          <w:color w:val="231F20"/>
        </w:rPr>
        <w:t xml:space="preserve"> showed that </w:t>
      </w:r>
      <w:r w:rsidR="002062CD" w:rsidRPr="002062CD">
        <w:rPr>
          <w:rFonts w:cstheme="minorHAnsi"/>
          <w:color w:val="231F20"/>
        </w:rPr>
        <w:t>almost all patients had private health insurance and had fewer comorbidities</w:t>
      </w:r>
      <w:r w:rsidR="00CC4842">
        <w:rPr>
          <w:rFonts w:cstheme="minorHAnsi"/>
          <w:color w:val="231F20"/>
        </w:rPr>
        <w:t xml:space="preserve"> with d</w:t>
      </w:r>
      <w:r w:rsidR="00CC4842" w:rsidRPr="002062CD">
        <w:rPr>
          <w:rFonts w:cstheme="minorHAnsi"/>
          <w:color w:val="231F20"/>
        </w:rPr>
        <w:t>ata from 74 independent freestanding EDs during 2013 to 2015</w:t>
      </w:r>
      <w:r w:rsidR="002062CD" w:rsidRPr="002062CD">
        <w:rPr>
          <w:rFonts w:cstheme="minorHAnsi"/>
          <w:color w:val="231F20"/>
        </w:rPr>
        <w:t xml:space="preserve">. </w:t>
      </w:r>
    </w:p>
    <w:p w14:paraId="05EB0C4C" w14:textId="07302C36" w:rsidR="00CC4842" w:rsidRDefault="00260376" w:rsidP="00CC4842">
      <w:pPr>
        <w:jc w:val="both"/>
        <w:rPr>
          <w:rFonts w:cstheme="minorHAnsi"/>
          <w:color w:val="231F20"/>
        </w:rPr>
      </w:pPr>
      <w:r>
        <w:rPr>
          <w:rFonts w:cstheme="minorHAnsi"/>
          <w:color w:val="231F20"/>
        </w:rPr>
        <w:t xml:space="preserve">Another important finding in my study was that </w:t>
      </w:r>
      <w:r w:rsidRPr="002062CD">
        <w:rPr>
          <w:rFonts w:cstheme="minorHAnsi"/>
          <w:color w:val="231F20"/>
        </w:rPr>
        <w:t>freestanding EDs</w:t>
      </w:r>
      <w:r>
        <w:rPr>
          <w:rFonts w:cstheme="minorHAnsi"/>
          <w:color w:val="231F20"/>
        </w:rPr>
        <w:t xml:space="preserve"> didn’t</w:t>
      </w:r>
      <w:r w:rsidRPr="002062CD">
        <w:rPr>
          <w:rFonts w:cstheme="minorHAnsi"/>
          <w:color w:val="231F20"/>
        </w:rPr>
        <w:t xml:space="preserve"> </w:t>
      </w:r>
      <w:r>
        <w:rPr>
          <w:rFonts w:cstheme="minorHAnsi"/>
          <w:color w:val="231F20"/>
        </w:rPr>
        <w:t xml:space="preserve">relieve congestion problem </w:t>
      </w:r>
      <w:r w:rsidRPr="002062CD">
        <w:rPr>
          <w:rFonts w:cstheme="minorHAnsi"/>
          <w:color w:val="231F20"/>
        </w:rPr>
        <w:t>in hospitals</w:t>
      </w:r>
      <w:r>
        <w:rPr>
          <w:rFonts w:cstheme="minorHAnsi"/>
          <w:color w:val="231F20"/>
        </w:rPr>
        <w:t xml:space="preserve">. Neither </w:t>
      </w:r>
      <w:r w:rsidR="00C9519D">
        <w:rPr>
          <w:rFonts w:cstheme="minorHAnsi"/>
          <w:color w:val="231F20"/>
        </w:rPr>
        <w:t>owning</w:t>
      </w:r>
      <w:r w:rsidR="00BE4CDD">
        <w:rPr>
          <w:rFonts w:cstheme="minorHAnsi"/>
          <w:color w:val="231F20"/>
        </w:rPr>
        <w:t xml:space="preserve"> satellite EDs, nor having all kinds of freestanding EDs around help</w:t>
      </w:r>
      <w:r w:rsidR="00CC4842">
        <w:rPr>
          <w:rFonts w:cstheme="minorHAnsi"/>
          <w:color w:val="231F20"/>
        </w:rPr>
        <w:t>ed</w:t>
      </w:r>
      <w:r w:rsidR="00BE4CDD">
        <w:rPr>
          <w:rFonts w:cstheme="minorHAnsi"/>
          <w:color w:val="231F20"/>
        </w:rPr>
        <w:t xml:space="preserve"> ED reduce wait time</w:t>
      </w:r>
      <w:r w:rsidR="00CC36E5">
        <w:rPr>
          <w:rFonts w:cstheme="minorHAnsi"/>
          <w:color w:val="231F20"/>
        </w:rPr>
        <w:t xml:space="preserve">, </w:t>
      </w:r>
      <w:r w:rsidR="00A02C9C">
        <w:rPr>
          <w:rFonts w:cstheme="minorHAnsi"/>
          <w:color w:val="231F20"/>
        </w:rPr>
        <w:t xml:space="preserve">length of visit for </w:t>
      </w:r>
      <w:r w:rsidR="00CC36E5">
        <w:rPr>
          <w:rFonts w:cstheme="minorHAnsi"/>
          <w:color w:val="231F20"/>
        </w:rPr>
        <w:t>discharge</w:t>
      </w:r>
      <w:r w:rsidR="00A02C9C">
        <w:rPr>
          <w:rFonts w:cstheme="minorHAnsi"/>
          <w:color w:val="231F20"/>
        </w:rPr>
        <w:t>d</w:t>
      </w:r>
      <w:r w:rsidR="00CC36E5">
        <w:rPr>
          <w:rFonts w:cstheme="minorHAnsi"/>
          <w:color w:val="231F20"/>
        </w:rPr>
        <w:t xml:space="preserve"> </w:t>
      </w:r>
      <w:r w:rsidR="00A02C9C">
        <w:rPr>
          <w:rFonts w:cstheme="minorHAnsi"/>
          <w:color w:val="231F20"/>
        </w:rPr>
        <w:t>patients</w:t>
      </w:r>
      <w:r w:rsidR="00BE4CDD">
        <w:rPr>
          <w:rFonts w:cstheme="minorHAnsi"/>
          <w:color w:val="231F20"/>
        </w:rPr>
        <w:t xml:space="preserve"> </w:t>
      </w:r>
      <w:r w:rsidR="00CC4842">
        <w:rPr>
          <w:rFonts w:cstheme="minorHAnsi"/>
          <w:color w:val="231F20"/>
        </w:rPr>
        <w:t xml:space="preserve">or </w:t>
      </w:r>
      <w:r w:rsidR="00BE4CDD">
        <w:rPr>
          <w:rFonts w:cstheme="minorHAnsi"/>
          <w:color w:val="231F20"/>
        </w:rPr>
        <w:t>drop-out rate.</w:t>
      </w:r>
      <w:r w:rsidR="00CC4842">
        <w:rPr>
          <w:rFonts w:cstheme="minorHAnsi"/>
          <w:color w:val="231F20"/>
        </w:rPr>
        <w:t xml:space="preserve"> Owning satellite EDs did increase the visits, since satellite EDs bill</w:t>
      </w:r>
      <w:r w:rsidR="009D2A61">
        <w:rPr>
          <w:rFonts w:cstheme="minorHAnsi"/>
          <w:color w:val="231F20"/>
        </w:rPr>
        <w:t>ed</w:t>
      </w:r>
      <w:r w:rsidR="00CC4842">
        <w:rPr>
          <w:rFonts w:cstheme="minorHAnsi"/>
          <w:color w:val="231F20"/>
        </w:rPr>
        <w:t xml:space="preserve"> insurance under the name of their </w:t>
      </w:r>
      <w:r w:rsidR="009D2A61">
        <w:rPr>
          <w:rFonts w:cstheme="minorHAnsi"/>
          <w:color w:val="231F20"/>
        </w:rPr>
        <w:t xml:space="preserve">parent hospitals. However, </w:t>
      </w:r>
      <w:r w:rsidR="00CC4842" w:rsidRPr="002F1A9F">
        <w:rPr>
          <w:rFonts w:cstheme="minorHAnsi"/>
          <w:color w:val="231F20"/>
        </w:rPr>
        <w:t xml:space="preserve">hospital </w:t>
      </w:r>
      <w:r w:rsidR="009D2A61">
        <w:rPr>
          <w:rFonts w:cstheme="minorHAnsi"/>
          <w:color w:val="231F20"/>
        </w:rPr>
        <w:t xml:space="preserve">ED </w:t>
      </w:r>
      <w:r w:rsidR="00CC4842" w:rsidRPr="002F1A9F">
        <w:rPr>
          <w:rFonts w:cstheme="minorHAnsi"/>
          <w:color w:val="231F20"/>
        </w:rPr>
        <w:t>efficienc</w:t>
      </w:r>
      <w:r w:rsidR="009D2A61">
        <w:rPr>
          <w:rFonts w:cstheme="minorHAnsi"/>
          <w:color w:val="231F20"/>
        </w:rPr>
        <w:t xml:space="preserve">y was unaffected by owning satellite EDs, suggested </w:t>
      </w:r>
      <w:r w:rsidR="00CC4842" w:rsidRPr="002F1A9F">
        <w:rPr>
          <w:rFonts w:cstheme="minorHAnsi"/>
          <w:color w:val="231F20"/>
        </w:rPr>
        <w:t xml:space="preserve">the </w:t>
      </w:r>
      <w:r w:rsidR="00CC4842">
        <w:rPr>
          <w:rFonts w:cstheme="minorHAnsi"/>
          <w:color w:val="231F20"/>
        </w:rPr>
        <w:t xml:space="preserve">congestion </w:t>
      </w:r>
      <w:r w:rsidR="009D2A61">
        <w:rPr>
          <w:rFonts w:cstheme="minorHAnsi"/>
          <w:color w:val="231F20"/>
        </w:rPr>
        <w:t>problem remained</w:t>
      </w:r>
      <w:r w:rsidR="00CC4842" w:rsidRPr="002F1A9F">
        <w:rPr>
          <w:rFonts w:cstheme="minorHAnsi"/>
          <w:color w:val="231F20"/>
        </w:rPr>
        <w:t xml:space="preserve"> in main hospitals.</w:t>
      </w:r>
    </w:p>
    <w:p w14:paraId="629CAEB7" w14:textId="061181B2" w:rsidR="00CC4842" w:rsidRPr="00243391" w:rsidRDefault="00CC4842" w:rsidP="00CC4842">
      <w:pPr>
        <w:jc w:val="both"/>
        <w:rPr>
          <w:rFonts w:cstheme="minorHAnsi"/>
        </w:rPr>
      </w:pPr>
      <w:r>
        <w:rPr>
          <w:rFonts w:cstheme="minorHAnsi"/>
          <w:color w:val="231F20"/>
        </w:rPr>
        <w:t>In general, wait times and drop-out rates</w:t>
      </w:r>
      <w:r w:rsidRPr="00A6110C">
        <w:rPr>
          <w:rFonts w:cstheme="minorHAnsi"/>
          <w:color w:val="231F20"/>
        </w:rPr>
        <w:t xml:space="preserve"> </w:t>
      </w:r>
      <w:r>
        <w:rPr>
          <w:rFonts w:cstheme="minorHAnsi"/>
          <w:color w:val="231F20"/>
        </w:rPr>
        <w:t xml:space="preserve">in the hospital-based EDs decreased over the past years, showed in </w:t>
      </w:r>
      <w:r>
        <w:rPr>
          <w:rFonts w:cstheme="minorHAnsi"/>
        </w:rPr>
        <w:t xml:space="preserve">the descriptive analysis (Table </w:t>
      </w:r>
      <w:r w:rsidR="00A43867">
        <w:rPr>
          <w:rFonts w:cstheme="minorHAnsi"/>
        </w:rPr>
        <w:t>2</w:t>
      </w:r>
      <w:r>
        <w:rPr>
          <w:rFonts w:cstheme="minorHAnsi"/>
        </w:rPr>
        <w:t xml:space="preserve">) and the regression results (Table </w:t>
      </w:r>
      <w:r w:rsidR="00A43867">
        <w:rPr>
          <w:rFonts w:cstheme="minorHAnsi"/>
        </w:rPr>
        <w:t>3</w:t>
      </w:r>
      <w:r>
        <w:rPr>
          <w:rFonts w:cstheme="minorHAnsi"/>
        </w:rPr>
        <w:t>)</w:t>
      </w:r>
      <w:r w:rsidRPr="00A6110C">
        <w:rPr>
          <w:rFonts w:cstheme="minorHAnsi"/>
          <w:color w:val="231F20"/>
        </w:rPr>
        <w:t xml:space="preserve">. On the one side, it </w:t>
      </w:r>
      <w:r>
        <w:rPr>
          <w:rFonts w:cstheme="minorHAnsi"/>
          <w:color w:val="231F20"/>
        </w:rPr>
        <w:t>was</w:t>
      </w:r>
      <w:r w:rsidRPr="00A6110C">
        <w:rPr>
          <w:rFonts w:cstheme="minorHAnsi"/>
          <w:color w:val="231F20"/>
        </w:rPr>
        <w:t xml:space="preserve"> possible that hospitals spared efforts to reduce wait times, since those indicators were main measurements in </w:t>
      </w:r>
      <w:r w:rsidR="005572D1">
        <w:rPr>
          <w:rFonts w:cstheme="minorHAnsi"/>
          <w:color w:val="231F20"/>
        </w:rPr>
        <w:t xml:space="preserve">the </w:t>
      </w:r>
      <w:r w:rsidRPr="00A6110C">
        <w:rPr>
          <w:rFonts w:cstheme="minorHAnsi"/>
          <w:color w:val="231F20"/>
        </w:rPr>
        <w:t xml:space="preserve">CMS’s Hospital Compare survey. Hospitals usually advertise their current ED wait times on the website to attract patients. On the other side, patients might also choose hospital strategically </w:t>
      </w:r>
      <w:r w:rsidR="005572D1">
        <w:rPr>
          <w:rFonts w:cstheme="minorHAnsi"/>
          <w:color w:val="231F20"/>
        </w:rPr>
        <w:t>by checking</w:t>
      </w:r>
      <w:r w:rsidRPr="00A6110C">
        <w:rPr>
          <w:rFonts w:cstheme="minorHAnsi"/>
          <w:color w:val="231F20"/>
        </w:rPr>
        <w:t xml:space="preserve"> wait time online. Noticeably, </w:t>
      </w:r>
      <w:r w:rsidR="005572D1">
        <w:rPr>
          <w:rFonts w:cstheme="minorHAnsi"/>
          <w:color w:val="231F20"/>
        </w:rPr>
        <w:t xml:space="preserve">the study showed the </w:t>
      </w:r>
      <w:r w:rsidR="00A02C9C">
        <w:rPr>
          <w:rFonts w:cstheme="minorHAnsi"/>
          <w:color w:val="231F20"/>
        </w:rPr>
        <w:t xml:space="preserve">length of visit </w:t>
      </w:r>
      <w:r w:rsidR="005572D1">
        <w:rPr>
          <w:rFonts w:cstheme="minorHAnsi"/>
          <w:color w:val="231F20"/>
        </w:rPr>
        <w:t xml:space="preserve">for </w:t>
      </w:r>
      <w:r w:rsidR="00A02C9C">
        <w:rPr>
          <w:rFonts w:cstheme="minorHAnsi"/>
          <w:color w:val="231F20"/>
        </w:rPr>
        <w:t xml:space="preserve">discharged patients </w:t>
      </w:r>
      <w:r w:rsidRPr="00A6110C">
        <w:rPr>
          <w:rFonts w:cstheme="minorHAnsi"/>
          <w:color w:val="231F20"/>
        </w:rPr>
        <w:t>did not change much</w:t>
      </w:r>
      <w:r>
        <w:rPr>
          <w:rFonts w:cstheme="minorHAnsi"/>
          <w:color w:val="231F20"/>
        </w:rPr>
        <w:t xml:space="preserve">, suggesting times for overall </w:t>
      </w:r>
      <w:r w:rsidR="00A02C9C">
        <w:rPr>
          <w:rFonts w:cstheme="minorHAnsi"/>
          <w:color w:val="231F20"/>
        </w:rPr>
        <w:t>procedure</w:t>
      </w:r>
      <w:r>
        <w:rPr>
          <w:rFonts w:cstheme="minorHAnsi"/>
          <w:color w:val="231F20"/>
        </w:rPr>
        <w:t xml:space="preserve"> didn’t </w:t>
      </w:r>
      <w:r w:rsidR="00A02C9C">
        <w:rPr>
          <w:rFonts w:cstheme="minorHAnsi"/>
          <w:color w:val="231F20"/>
        </w:rPr>
        <w:t>improve</w:t>
      </w:r>
      <w:r w:rsidRPr="00A6110C">
        <w:rPr>
          <w:rFonts w:cstheme="minorHAnsi"/>
          <w:color w:val="231F20"/>
        </w:rPr>
        <w:t>. The anxiety about improvement in ED efficiency remained.</w:t>
      </w:r>
    </w:p>
    <w:p w14:paraId="50BB55A6" w14:textId="6D549F92" w:rsidR="00CC36E5" w:rsidRDefault="00CC36E5" w:rsidP="00A93D01">
      <w:pPr>
        <w:jc w:val="both"/>
        <w:rPr>
          <w:rFonts w:cstheme="minorHAnsi"/>
          <w:color w:val="231F20"/>
        </w:rPr>
      </w:pPr>
      <w:r>
        <w:rPr>
          <w:rFonts w:cstheme="minorHAnsi"/>
          <w:color w:val="231F20"/>
        </w:rPr>
        <w:lastRenderedPageBreak/>
        <w:t xml:space="preserve">Setting up satellite EDs </w:t>
      </w:r>
      <w:r w:rsidR="009D2A61">
        <w:rPr>
          <w:rFonts w:cstheme="minorHAnsi"/>
          <w:color w:val="231F20"/>
        </w:rPr>
        <w:t>is</w:t>
      </w:r>
      <w:r>
        <w:rPr>
          <w:rFonts w:cstheme="minorHAnsi"/>
          <w:color w:val="231F20"/>
        </w:rPr>
        <w:t xml:space="preserve"> a way to attract patients and gain more market share. They</w:t>
      </w:r>
      <w:r w:rsidRPr="002F1A9F">
        <w:rPr>
          <w:rFonts w:cstheme="minorHAnsi"/>
          <w:color w:val="231F20"/>
        </w:rPr>
        <w:t xml:space="preserve"> function like feeder</w:t>
      </w:r>
      <w:r w:rsidR="009D2A61">
        <w:rPr>
          <w:rFonts w:cstheme="minorHAnsi"/>
          <w:color w:val="231F20"/>
        </w:rPr>
        <w:t>s</w:t>
      </w:r>
      <w:r w:rsidRPr="002F1A9F">
        <w:rPr>
          <w:rFonts w:cstheme="minorHAnsi"/>
          <w:color w:val="231F20"/>
        </w:rPr>
        <w:t xml:space="preserve"> to owner hospitals and attract patients by their big brand names in local </w:t>
      </w:r>
      <w:r>
        <w:rPr>
          <w:rFonts w:cstheme="minorHAnsi"/>
          <w:color w:val="231F20"/>
        </w:rPr>
        <w:t>markets</w:t>
      </w:r>
      <w:r w:rsidRPr="002F1A9F">
        <w:rPr>
          <w:rFonts w:cstheme="minorHAnsi"/>
          <w:color w:val="231F20"/>
        </w:rPr>
        <w:t xml:space="preserve">. </w:t>
      </w:r>
      <w:r w:rsidR="00A0300E">
        <w:rPr>
          <w:rFonts w:cstheme="minorHAnsi"/>
          <w:color w:val="231F20"/>
        </w:rPr>
        <w:t xml:space="preserve">Under current payment system for ED visits, </w:t>
      </w:r>
      <w:r>
        <w:rPr>
          <w:rFonts w:cstheme="minorHAnsi"/>
          <w:color w:val="231F20"/>
        </w:rPr>
        <w:t>providers</w:t>
      </w:r>
      <w:r w:rsidR="00A0300E">
        <w:rPr>
          <w:rFonts w:cstheme="minorHAnsi"/>
          <w:color w:val="231F20"/>
        </w:rPr>
        <w:t xml:space="preserve"> have incentives to add new satellite EDs, rather than independent freestanding EDs</w:t>
      </w:r>
      <w:r>
        <w:rPr>
          <w:rFonts w:cstheme="minorHAnsi"/>
          <w:color w:val="231F20"/>
        </w:rPr>
        <w:t xml:space="preserve"> or urgent care centers</w:t>
      </w:r>
      <w:r w:rsidR="00A0300E">
        <w:rPr>
          <w:rFonts w:cstheme="minorHAnsi"/>
          <w:color w:val="231F20"/>
        </w:rPr>
        <w:t xml:space="preserve">, to get reimbursements from public and private insurances. </w:t>
      </w:r>
      <w:r w:rsidR="002062CD">
        <w:rPr>
          <w:rFonts w:cstheme="minorHAnsi"/>
          <w:color w:val="231F20"/>
        </w:rPr>
        <w:t>In the past few years,</w:t>
      </w:r>
      <w:r w:rsidR="002062CD" w:rsidRPr="006D6416">
        <w:rPr>
          <w:rFonts w:cstheme="minorHAnsi"/>
          <w:color w:val="231F20"/>
        </w:rPr>
        <w:t xml:space="preserve"> </w:t>
      </w:r>
      <w:r w:rsidR="002062CD">
        <w:rPr>
          <w:rFonts w:cstheme="minorHAnsi"/>
          <w:color w:val="231F20"/>
        </w:rPr>
        <w:t>more and more</w:t>
      </w:r>
      <w:r w:rsidR="002062CD" w:rsidRPr="006D6416">
        <w:rPr>
          <w:rFonts w:cstheme="minorHAnsi"/>
          <w:color w:val="231F20"/>
        </w:rPr>
        <w:t xml:space="preserve"> hospitals </w:t>
      </w:r>
      <w:r w:rsidR="00A12C4F">
        <w:rPr>
          <w:rFonts w:cstheme="minorHAnsi"/>
          <w:color w:val="231F20"/>
        </w:rPr>
        <w:t>established</w:t>
      </w:r>
      <w:r w:rsidR="002062CD" w:rsidRPr="006D6416">
        <w:rPr>
          <w:rFonts w:cstheme="minorHAnsi"/>
          <w:color w:val="231F20"/>
        </w:rPr>
        <w:t xml:space="preserve"> satellite EDs </w:t>
      </w:r>
      <w:r w:rsidR="002062CD">
        <w:rPr>
          <w:rFonts w:cstheme="minorHAnsi"/>
          <w:color w:val="231F20"/>
        </w:rPr>
        <w:t>in local communities</w:t>
      </w:r>
      <w:r w:rsidR="002062CD" w:rsidRPr="006D6416">
        <w:rPr>
          <w:rFonts w:cstheme="minorHAnsi"/>
          <w:color w:val="231F20"/>
        </w:rPr>
        <w:t xml:space="preserve">. </w:t>
      </w:r>
      <w:r w:rsidR="002062CD" w:rsidRPr="0034332B">
        <w:rPr>
          <w:rFonts w:cstheme="minorHAnsi"/>
          <w:color w:val="231F20"/>
        </w:rPr>
        <w:t xml:space="preserve">Houston Methodist </w:t>
      </w:r>
      <w:r w:rsidR="00A0300E">
        <w:rPr>
          <w:rFonts w:cstheme="minorHAnsi"/>
          <w:color w:val="231F20"/>
        </w:rPr>
        <w:t>and</w:t>
      </w:r>
      <w:r w:rsidR="002062CD" w:rsidRPr="0034332B">
        <w:rPr>
          <w:rFonts w:cstheme="minorHAnsi"/>
          <w:color w:val="231F20"/>
        </w:rPr>
        <w:t xml:space="preserve"> </w:t>
      </w:r>
      <w:r w:rsidR="002062CD">
        <w:rPr>
          <w:rFonts w:cstheme="minorHAnsi"/>
          <w:color w:val="231F20"/>
        </w:rPr>
        <w:t>CHI St. Luke’s Health</w:t>
      </w:r>
      <w:r w:rsidR="002062CD" w:rsidRPr="0034332B">
        <w:rPr>
          <w:rFonts w:cstheme="minorHAnsi"/>
          <w:color w:val="231F20"/>
        </w:rPr>
        <w:t xml:space="preserve"> set up</w:t>
      </w:r>
      <w:r w:rsidR="00A0300E">
        <w:rPr>
          <w:rFonts w:cstheme="minorHAnsi"/>
          <w:color w:val="231F20"/>
        </w:rPr>
        <w:t xml:space="preserve"> </w:t>
      </w:r>
      <w:r w:rsidR="0046751B">
        <w:rPr>
          <w:rFonts w:cstheme="minorHAnsi"/>
          <w:color w:val="231F20"/>
        </w:rPr>
        <w:t>8</w:t>
      </w:r>
      <w:r w:rsidR="00A0300E">
        <w:rPr>
          <w:rFonts w:cstheme="minorHAnsi"/>
          <w:color w:val="231F20"/>
        </w:rPr>
        <w:t xml:space="preserve"> </w:t>
      </w:r>
      <w:r w:rsidR="00A0300E">
        <w:rPr>
          <w:rFonts w:cstheme="minorHAnsi" w:hint="eastAsia"/>
          <w:color w:val="231F20"/>
        </w:rPr>
        <w:t>and</w:t>
      </w:r>
      <w:r w:rsidR="00A0300E">
        <w:rPr>
          <w:rFonts w:cstheme="minorHAnsi"/>
          <w:color w:val="231F20"/>
        </w:rPr>
        <w:t xml:space="preserve"> </w:t>
      </w:r>
      <w:r w:rsidR="0046751B">
        <w:rPr>
          <w:rFonts w:cstheme="minorHAnsi"/>
          <w:color w:val="231F20"/>
        </w:rPr>
        <w:t>10</w:t>
      </w:r>
      <w:r w:rsidR="002062CD" w:rsidRPr="0034332B">
        <w:rPr>
          <w:rFonts w:cstheme="minorHAnsi"/>
          <w:color w:val="231F20"/>
        </w:rPr>
        <w:t xml:space="preserve"> satellite EDs</w:t>
      </w:r>
      <w:r w:rsidR="005572D1">
        <w:rPr>
          <w:rFonts w:cstheme="minorHAnsi"/>
          <w:color w:val="231F20"/>
        </w:rPr>
        <w:t>, respectively</w:t>
      </w:r>
      <w:r w:rsidR="002062CD" w:rsidRPr="0034332B">
        <w:rPr>
          <w:rFonts w:cstheme="minorHAnsi"/>
          <w:color w:val="231F20"/>
        </w:rPr>
        <w:t>.</w:t>
      </w:r>
      <w:r w:rsidR="005572D1">
        <w:rPr>
          <w:rFonts w:cstheme="minorHAnsi"/>
          <w:color w:val="231F20"/>
        </w:rPr>
        <w:t xml:space="preserve"> Besides,</w:t>
      </w:r>
      <w:r w:rsidR="002062CD">
        <w:rPr>
          <w:rFonts w:cstheme="minorHAnsi"/>
          <w:color w:val="231F20"/>
        </w:rPr>
        <w:t xml:space="preserve"> </w:t>
      </w:r>
      <w:r w:rsidR="005572D1">
        <w:rPr>
          <w:rFonts w:cstheme="minorHAnsi"/>
          <w:color w:val="231F20"/>
        </w:rPr>
        <w:t>i</w:t>
      </w:r>
      <w:r w:rsidR="002062CD">
        <w:rPr>
          <w:rFonts w:cstheme="minorHAnsi"/>
          <w:color w:val="231F20"/>
        </w:rPr>
        <w:t xml:space="preserve">ndependent freestanding EDs </w:t>
      </w:r>
      <w:r w:rsidR="00A0300E">
        <w:rPr>
          <w:rFonts w:cstheme="minorHAnsi"/>
          <w:color w:val="231F20"/>
        </w:rPr>
        <w:t xml:space="preserve">also </w:t>
      </w:r>
      <w:r w:rsidR="002062CD">
        <w:rPr>
          <w:rFonts w:cstheme="minorHAnsi"/>
          <w:color w:val="231F20"/>
        </w:rPr>
        <w:t xml:space="preserve">started working with hospitals to get better </w:t>
      </w:r>
      <w:r w:rsidR="00A0300E">
        <w:rPr>
          <w:rFonts w:cstheme="minorHAnsi"/>
          <w:color w:val="231F20"/>
        </w:rPr>
        <w:t>payments</w:t>
      </w:r>
      <w:r w:rsidR="002062CD">
        <w:rPr>
          <w:rFonts w:cstheme="minorHAnsi"/>
          <w:color w:val="231F20"/>
        </w:rPr>
        <w:t xml:space="preserve">. </w:t>
      </w:r>
      <w:r w:rsidR="002062CD">
        <w:t xml:space="preserve">27 </w:t>
      </w:r>
      <w:r w:rsidR="002062CD">
        <w:rPr>
          <w:rFonts w:cstheme="minorHAnsi"/>
          <w:color w:val="231F20"/>
        </w:rPr>
        <w:t xml:space="preserve">First Choice freestanding EDs under Adeptus Health </w:t>
      </w:r>
      <w:r w:rsidR="002062CD">
        <w:t xml:space="preserve">became aligned with </w:t>
      </w:r>
      <w:r w:rsidR="002062CD">
        <w:rPr>
          <w:rFonts w:cstheme="minorHAnsi"/>
          <w:color w:val="231F20"/>
        </w:rPr>
        <w:t>Texas Health Resources in Dallas-Fort Worth areas</w:t>
      </w:r>
      <w:r w:rsidR="002062CD">
        <w:rPr>
          <w:rStyle w:val="FootnoteReference"/>
          <w:rFonts w:cstheme="minorHAnsi"/>
          <w:color w:val="231F20"/>
        </w:rPr>
        <w:footnoteReference w:id="14"/>
      </w:r>
      <w:r w:rsidR="002062CD">
        <w:rPr>
          <w:rFonts w:cstheme="minorHAnsi"/>
          <w:color w:val="231F20"/>
        </w:rPr>
        <w:t xml:space="preserve"> in early 2016. </w:t>
      </w:r>
      <w:r w:rsidR="002062CD">
        <w:t xml:space="preserve">First Texas Hospital (Houston) also opened in 2016 to take care of claims in </w:t>
      </w:r>
      <w:r w:rsidR="002062CD">
        <w:rPr>
          <w:rFonts w:cstheme="minorHAnsi"/>
          <w:color w:val="231F20"/>
        </w:rPr>
        <w:t>First Choice freestanding</w:t>
      </w:r>
      <w:r w:rsidR="002062CD" w:rsidRPr="002C3E85">
        <w:rPr>
          <w:rFonts w:cstheme="minorHAnsi"/>
          <w:color w:val="231F20"/>
        </w:rPr>
        <w:t xml:space="preserve"> </w:t>
      </w:r>
      <w:r w:rsidR="002062CD">
        <w:rPr>
          <w:rFonts w:cstheme="minorHAnsi"/>
          <w:color w:val="231F20"/>
        </w:rPr>
        <w:t>EDs in Houston area.</w:t>
      </w:r>
      <w:r w:rsidR="00845ACD">
        <w:rPr>
          <w:rFonts w:cstheme="minorHAnsi"/>
          <w:color w:val="231F20"/>
        </w:rPr>
        <w:t xml:space="preserve"> </w:t>
      </w:r>
    </w:p>
    <w:p w14:paraId="6CA3CC44" w14:textId="21787395" w:rsidR="00333E91" w:rsidRDefault="00CC36E5" w:rsidP="00A93D01">
      <w:pPr>
        <w:jc w:val="both"/>
        <w:rPr>
          <w:rFonts w:cstheme="minorHAnsi"/>
        </w:rPr>
      </w:pPr>
      <w:r>
        <w:rPr>
          <w:rFonts w:cstheme="minorHAnsi"/>
          <w:color w:val="231F20"/>
        </w:rPr>
        <w:t>There is considerable ongoing debate about</w:t>
      </w:r>
      <w:r w:rsidR="00D40532">
        <w:rPr>
          <w:rFonts w:cstheme="minorHAnsi"/>
          <w:color w:val="231F20"/>
        </w:rPr>
        <w:t xml:space="preserve"> the value and cost of</w:t>
      </w:r>
      <w:r>
        <w:rPr>
          <w:rFonts w:cstheme="minorHAnsi"/>
          <w:color w:val="231F20"/>
        </w:rPr>
        <w:t xml:space="preserve"> </w:t>
      </w:r>
      <w:r w:rsidR="00D40532">
        <w:rPr>
          <w:rFonts w:cstheme="minorHAnsi"/>
          <w:color w:val="231F20"/>
        </w:rPr>
        <w:t xml:space="preserve">freestanding ED services. </w:t>
      </w:r>
      <w:r w:rsidR="00845ACD">
        <w:rPr>
          <w:rFonts w:cstheme="minorHAnsi"/>
          <w:color w:val="231F20"/>
        </w:rPr>
        <w:t xml:space="preserve">To </w:t>
      </w:r>
      <w:r w:rsidR="00D40532">
        <w:rPr>
          <w:rFonts w:cstheme="minorHAnsi"/>
          <w:color w:val="231F20"/>
        </w:rPr>
        <w:t xml:space="preserve">ensure appropriate use of emergency services and </w:t>
      </w:r>
      <w:r w:rsidR="00845ACD">
        <w:rPr>
          <w:rFonts w:cstheme="minorHAnsi"/>
          <w:color w:val="231F20"/>
        </w:rPr>
        <w:t>avoid over</w:t>
      </w:r>
      <w:r>
        <w:rPr>
          <w:rFonts w:cstheme="minorHAnsi"/>
          <w:color w:val="231F20"/>
        </w:rPr>
        <w:t xml:space="preserve">-payment </w:t>
      </w:r>
      <w:r w:rsidR="00845ACD">
        <w:rPr>
          <w:rFonts w:cstheme="minorHAnsi"/>
          <w:color w:val="231F20"/>
        </w:rPr>
        <w:t>to low-acuity emergency visits, t</w:t>
      </w:r>
      <w:r w:rsidR="00A12C4F">
        <w:rPr>
          <w:rFonts w:cstheme="minorHAnsi"/>
        </w:rPr>
        <w:t xml:space="preserve">he 2018 </w:t>
      </w:r>
      <w:r>
        <w:rPr>
          <w:rFonts w:cstheme="minorHAnsi"/>
        </w:rPr>
        <w:t>MedPAC report</w:t>
      </w:r>
      <w:r w:rsidR="00A12C4F">
        <w:rPr>
          <w:rStyle w:val="FootnoteReference"/>
          <w:rFonts w:cstheme="minorHAnsi"/>
        </w:rPr>
        <w:footnoteReference w:id="15"/>
      </w:r>
      <w:r w:rsidR="00A12C4F">
        <w:rPr>
          <w:rFonts w:cstheme="minorHAnsi"/>
        </w:rPr>
        <w:t xml:space="preserve"> suggest</w:t>
      </w:r>
      <w:r w:rsidR="005572D1">
        <w:rPr>
          <w:rFonts w:cstheme="minorHAnsi"/>
        </w:rPr>
        <w:t>ed</w:t>
      </w:r>
      <w:r w:rsidR="00A12C4F">
        <w:rPr>
          <w:rFonts w:cstheme="minorHAnsi"/>
        </w:rPr>
        <w:t xml:space="preserve"> reducing Medicare payment rates for those visits in satellite EDs in urban areas.</w:t>
      </w:r>
      <w:r w:rsidR="00845ACD">
        <w:rPr>
          <w:rFonts w:cstheme="minorHAnsi"/>
        </w:rPr>
        <w:t xml:space="preserve"> </w:t>
      </w:r>
      <w:r w:rsidR="0022152C" w:rsidRPr="007C7B2A">
        <w:rPr>
          <w:rFonts w:cstheme="minorHAnsi"/>
          <w:color w:val="231F20"/>
        </w:rPr>
        <w:t>The payment from</w:t>
      </w:r>
      <w:r w:rsidR="0022152C">
        <w:rPr>
          <w:rFonts w:cstheme="minorHAnsi"/>
          <w:color w:val="231F20"/>
        </w:rPr>
        <w:t xml:space="preserve"> Medicare</w:t>
      </w:r>
      <w:r w:rsidR="0022152C" w:rsidRPr="007C7B2A">
        <w:rPr>
          <w:rFonts w:cstheme="minorHAnsi"/>
          <w:color w:val="231F20"/>
        </w:rPr>
        <w:t xml:space="preserve"> </w:t>
      </w:r>
      <w:r w:rsidR="0022152C">
        <w:rPr>
          <w:rFonts w:cstheme="minorHAnsi"/>
          <w:color w:val="231F20"/>
        </w:rPr>
        <w:t>payment</w:t>
      </w:r>
      <w:r w:rsidR="0022152C" w:rsidRPr="007C7B2A">
        <w:rPr>
          <w:rFonts w:cstheme="minorHAnsi"/>
          <w:color w:val="231F20"/>
        </w:rPr>
        <w:t xml:space="preserve"> can dent freestanding </w:t>
      </w:r>
      <w:proofErr w:type="spellStart"/>
      <w:r w:rsidR="0022152C" w:rsidRPr="007C7B2A">
        <w:rPr>
          <w:rFonts w:cstheme="minorHAnsi"/>
          <w:color w:val="231F20"/>
        </w:rPr>
        <w:t>EDs’</w:t>
      </w:r>
      <w:proofErr w:type="spellEnd"/>
      <w:r w:rsidR="0022152C" w:rsidRPr="007C7B2A">
        <w:rPr>
          <w:rFonts w:cstheme="minorHAnsi"/>
          <w:color w:val="231F20"/>
        </w:rPr>
        <w:t xml:space="preserve"> prospects.</w:t>
      </w:r>
      <w:r w:rsidR="0022152C">
        <w:rPr>
          <w:rFonts w:cstheme="minorHAnsi"/>
          <w:color w:val="231F20"/>
        </w:rPr>
        <w:t xml:space="preserve"> </w:t>
      </w:r>
      <w:r w:rsidR="00333E91">
        <w:rPr>
          <w:rFonts w:cstheme="minorHAnsi"/>
        </w:rPr>
        <w:t xml:space="preserve">In addition, the freestanding ED ACT did not solve one of its initial purposes – </w:t>
      </w:r>
      <w:r w:rsidR="00333E91">
        <w:t xml:space="preserve">help patients access </w:t>
      </w:r>
      <w:r w:rsidR="00333E91" w:rsidRPr="00BD64EB">
        <w:rPr>
          <w:noProof/>
        </w:rPr>
        <w:t>care</w:t>
      </w:r>
      <w:r w:rsidR="00333E91">
        <w:t xml:space="preserve"> in emergency service shortage areas. A</w:t>
      </w:r>
      <w:r w:rsidR="00333E91">
        <w:rPr>
          <w:rFonts w:cstheme="minorHAnsi"/>
        </w:rPr>
        <w:t xml:space="preserve">lmost all the freestanding EDs in Texas found their roots in urban wealthy communities </w:t>
      </w:r>
      <w:r w:rsidR="00333E91">
        <w:rPr>
          <w:rFonts w:cstheme="minorHAnsi"/>
          <w:color w:val="231F20"/>
        </w:rPr>
        <w:t>(Dark et al., 2017)</w:t>
      </w:r>
      <w:r w:rsidR="00333E91">
        <w:rPr>
          <w:rFonts w:cstheme="minorHAnsi"/>
        </w:rPr>
        <w:t>. The current policy fails to address the concerns “Improve efficiency and preserving access to emergency care in rural areas” raised in the 2016 Report to the Congress</w:t>
      </w:r>
      <w:r w:rsidR="00333E91">
        <w:rPr>
          <w:rStyle w:val="FootnoteReference"/>
          <w:rFonts w:cstheme="minorHAnsi"/>
        </w:rPr>
        <w:footnoteReference w:id="16"/>
      </w:r>
      <w:r w:rsidR="00333E91">
        <w:rPr>
          <w:rFonts w:cstheme="minorHAnsi"/>
        </w:rPr>
        <w:t xml:space="preserve">. </w:t>
      </w:r>
    </w:p>
    <w:p w14:paraId="2D23DC66" w14:textId="27F3708C" w:rsidR="0092565D" w:rsidRDefault="008958BD" w:rsidP="008E625D">
      <w:pPr>
        <w:jc w:val="both"/>
        <w:rPr>
          <w:rFonts w:cstheme="minorHAnsi"/>
          <w:color w:val="231F20"/>
        </w:rPr>
      </w:pPr>
      <w:r w:rsidRPr="008958BD">
        <w:rPr>
          <w:rFonts w:cstheme="minorHAnsi"/>
          <w:color w:val="231F20"/>
        </w:rPr>
        <w:t>From the patients’ perspective, it is also a paradox to using freestanding EDs to wean them from hospital congestion.</w:t>
      </w:r>
      <w:r>
        <w:rPr>
          <w:rFonts w:cstheme="minorHAnsi"/>
          <w:color w:val="231F20"/>
        </w:rPr>
        <w:t xml:space="preserve"> </w:t>
      </w:r>
      <w:r w:rsidR="007C7B2A">
        <w:rPr>
          <w:rFonts w:cstheme="minorHAnsi"/>
          <w:color w:val="231F20"/>
        </w:rPr>
        <w:t xml:space="preserve">For those with low acuity </w:t>
      </w:r>
      <w:r w:rsidR="009D2A61">
        <w:rPr>
          <w:rFonts w:cstheme="minorHAnsi"/>
          <w:color w:val="231F20"/>
        </w:rPr>
        <w:t>and</w:t>
      </w:r>
      <w:r w:rsidR="007C7B2A">
        <w:rPr>
          <w:rFonts w:cstheme="minorHAnsi"/>
          <w:color w:val="231F20"/>
        </w:rPr>
        <w:t xml:space="preserve"> </w:t>
      </w:r>
      <w:r w:rsidR="009D2A61">
        <w:rPr>
          <w:rFonts w:cstheme="minorHAnsi"/>
          <w:color w:val="231F20"/>
        </w:rPr>
        <w:t>no</w:t>
      </w:r>
      <w:r w:rsidR="007C7B2A">
        <w:rPr>
          <w:rFonts w:cstheme="minorHAnsi"/>
          <w:color w:val="231F20"/>
        </w:rPr>
        <w:t xml:space="preserve"> priority to get immediate treatment in hospital EDs, the congestion ma</w:t>
      </w:r>
      <w:r w:rsidR="009D2A61">
        <w:rPr>
          <w:rFonts w:cstheme="minorHAnsi"/>
          <w:color w:val="231F20"/>
        </w:rPr>
        <w:t>y</w:t>
      </w:r>
      <w:r w:rsidR="007C7B2A">
        <w:rPr>
          <w:rFonts w:cstheme="minorHAnsi"/>
          <w:color w:val="231F20"/>
        </w:rPr>
        <w:t xml:space="preserve"> also</w:t>
      </w:r>
      <w:r w:rsidR="009D2A61">
        <w:rPr>
          <w:rFonts w:cstheme="minorHAnsi"/>
          <w:color w:val="231F20"/>
        </w:rPr>
        <w:t xml:space="preserve"> be</w:t>
      </w:r>
      <w:r w:rsidR="007C7B2A">
        <w:rPr>
          <w:rFonts w:cstheme="minorHAnsi"/>
          <w:color w:val="231F20"/>
        </w:rPr>
        <w:t xml:space="preserve"> a way to keep them away from unnecessary high-cost ED services. </w:t>
      </w:r>
      <w:r w:rsidR="0092565D">
        <w:rPr>
          <w:rFonts w:cstheme="minorHAnsi"/>
          <w:color w:val="231F20"/>
        </w:rPr>
        <w:t>Many patients complained on Google review or Yelp that the charges from freestanding EDs</w:t>
      </w:r>
      <w:r w:rsidR="007061A6">
        <w:rPr>
          <w:rFonts w:cstheme="minorHAnsi"/>
          <w:color w:val="231F20"/>
        </w:rPr>
        <w:t>, especially independent freestanding EDs</w:t>
      </w:r>
      <w:r w:rsidR="0092565D">
        <w:rPr>
          <w:rFonts w:cstheme="minorHAnsi"/>
          <w:color w:val="231F20"/>
        </w:rPr>
        <w:t xml:space="preserve"> </w:t>
      </w:r>
      <w:r w:rsidR="009D2A61">
        <w:rPr>
          <w:rFonts w:cstheme="minorHAnsi"/>
          <w:color w:val="231F20"/>
        </w:rPr>
        <w:t>were</w:t>
      </w:r>
      <w:r w:rsidR="0092565D">
        <w:rPr>
          <w:rFonts w:cstheme="minorHAnsi"/>
          <w:color w:val="231F20"/>
        </w:rPr>
        <w:t xml:space="preserve"> unexpected. People assumed it would b</w:t>
      </w:r>
      <w:r w:rsidR="007061A6">
        <w:rPr>
          <w:rFonts w:cstheme="minorHAnsi"/>
          <w:color w:val="231F20"/>
        </w:rPr>
        <w:t>e at similar rates to those urgent care centers or clinics in local communities</w:t>
      </w:r>
      <w:r w:rsidR="00125C63" w:rsidRPr="007061A6">
        <w:rPr>
          <w:rFonts w:cstheme="minorHAnsi"/>
          <w:color w:val="231F20"/>
        </w:rPr>
        <w:t xml:space="preserve">. </w:t>
      </w:r>
      <w:r w:rsidR="007061A6">
        <w:rPr>
          <w:rFonts w:cstheme="minorHAnsi"/>
          <w:color w:val="231F20"/>
        </w:rPr>
        <w:t xml:space="preserve">But the </w:t>
      </w:r>
      <w:r w:rsidR="009D2A61">
        <w:rPr>
          <w:rFonts w:cstheme="minorHAnsi"/>
          <w:color w:val="231F20"/>
        </w:rPr>
        <w:t>cases</w:t>
      </w:r>
      <w:r w:rsidR="00125C63">
        <w:rPr>
          <w:rFonts w:cstheme="minorHAnsi"/>
          <w:color w:val="231F20"/>
        </w:rPr>
        <w:t xml:space="preserve"> hurt the most </w:t>
      </w:r>
      <w:r w:rsidR="009D2A61">
        <w:rPr>
          <w:rFonts w:cstheme="minorHAnsi"/>
          <w:color w:val="231F20"/>
        </w:rPr>
        <w:t>wa</w:t>
      </w:r>
      <w:r w:rsidR="00125C63">
        <w:rPr>
          <w:rFonts w:cstheme="minorHAnsi"/>
          <w:color w:val="231F20"/>
        </w:rPr>
        <w:t xml:space="preserve">s that most </w:t>
      </w:r>
      <w:r w:rsidR="00871C1B">
        <w:rPr>
          <w:rFonts w:cstheme="minorHAnsi"/>
          <w:color w:val="231F20"/>
        </w:rPr>
        <w:t xml:space="preserve">private </w:t>
      </w:r>
      <w:r w:rsidR="00125C63">
        <w:rPr>
          <w:rFonts w:cstheme="minorHAnsi"/>
          <w:color w:val="231F20"/>
        </w:rPr>
        <w:t>insur</w:t>
      </w:r>
      <w:r w:rsidR="007061A6">
        <w:rPr>
          <w:rFonts w:cstheme="minorHAnsi"/>
          <w:color w:val="231F20"/>
        </w:rPr>
        <w:t>ance companies</w:t>
      </w:r>
      <w:r w:rsidR="00125C63">
        <w:rPr>
          <w:rFonts w:cstheme="minorHAnsi"/>
          <w:color w:val="231F20"/>
        </w:rPr>
        <w:t xml:space="preserve"> reject</w:t>
      </w:r>
      <w:r w:rsidR="009D2A61">
        <w:rPr>
          <w:rFonts w:cstheme="minorHAnsi"/>
          <w:color w:val="231F20"/>
        </w:rPr>
        <w:t>ed</w:t>
      </w:r>
      <w:r w:rsidR="00125C63">
        <w:rPr>
          <w:rFonts w:cstheme="minorHAnsi"/>
          <w:color w:val="231F20"/>
        </w:rPr>
        <w:t xml:space="preserve"> the bill from independent freestanding EDs since they </w:t>
      </w:r>
      <w:r w:rsidR="009D2A61">
        <w:rPr>
          <w:rFonts w:cstheme="minorHAnsi"/>
          <w:color w:val="231F20"/>
        </w:rPr>
        <w:t>were</w:t>
      </w:r>
      <w:r w:rsidR="00125C63">
        <w:rPr>
          <w:rFonts w:cstheme="minorHAnsi"/>
          <w:color w:val="231F20"/>
        </w:rPr>
        <w:t xml:space="preserve"> out-of-network</w:t>
      </w:r>
      <w:r w:rsidR="00871C1B">
        <w:rPr>
          <w:rFonts w:cstheme="minorHAnsi"/>
          <w:color w:val="231F20"/>
        </w:rPr>
        <w:t xml:space="preserve"> providers. P</w:t>
      </w:r>
      <w:r w:rsidR="007061A6">
        <w:rPr>
          <w:rFonts w:cstheme="minorHAnsi"/>
          <w:color w:val="231F20"/>
        </w:rPr>
        <w:t xml:space="preserve">atients </w:t>
      </w:r>
      <w:r w:rsidR="009D2A61">
        <w:rPr>
          <w:rFonts w:cstheme="minorHAnsi"/>
          <w:color w:val="231F20"/>
        </w:rPr>
        <w:t>were</w:t>
      </w:r>
      <w:r w:rsidR="00871C1B">
        <w:rPr>
          <w:rFonts w:cstheme="minorHAnsi"/>
          <w:color w:val="231F20"/>
        </w:rPr>
        <w:t xml:space="preserve"> often left to pay the balance of </w:t>
      </w:r>
      <w:r w:rsidR="00A707CA">
        <w:rPr>
          <w:rFonts w:cstheme="minorHAnsi"/>
          <w:color w:val="231F20"/>
        </w:rPr>
        <w:t xml:space="preserve">thousand-some </w:t>
      </w:r>
      <w:r w:rsidR="005572D1">
        <w:rPr>
          <w:rFonts w:cstheme="minorHAnsi"/>
          <w:color w:val="231F20"/>
        </w:rPr>
        <w:t>emergency</w:t>
      </w:r>
      <w:r w:rsidR="007061A6">
        <w:rPr>
          <w:rFonts w:cstheme="minorHAnsi"/>
          <w:color w:val="231F20"/>
        </w:rPr>
        <w:t xml:space="preserve"> </w:t>
      </w:r>
      <w:r w:rsidR="00A707CA">
        <w:rPr>
          <w:rFonts w:cstheme="minorHAnsi"/>
          <w:color w:val="231F20"/>
        </w:rPr>
        <w:t>bill</w:t>
      </w:r>
      <w:r w:rsidR="007061A6">
        <w:rPr>
          <w:rFonts w:cstheme="minorHAnsi"/>
          <w:color w:val="231F20"/>
        </w:rPr>
        <w:t>s on their own</w:t>
      </w:r>
      <w:r w:rsidR="0046751B">
        <w:rPr>
          <w:rStyle w:val="FootnoteReference"/>
          <w:rFonts w:cstheme="minorHAnsi"/>
          <w:color w:val="231F20"/>
        </w:rPr>
        <w:footnoteReference w:id="17"/>
      </w:r>
      <w:r w:rsidR="00125C63">
        <w:rPr>
          <w:rFonts w:cstheme="minorHAnsi"/>
          <w:color w:val="231F20"/>
        </w:rPr>
        <w:t xml:space="preserve">. </w:t>
      </w:r>
      <w:r w:rsidR="007061A6">
        <w:rPr>
          <w:rFonts w:cstheme="minorHAnsi"/>
          <w:color w:val="231F20"/>
        </w:rPr>
        <w:t xml:space="preserve">Though </w:t>
      </w:r>
      <w:r w:rsidR="00125C63">
        <w:rPr>
          <w:rFonts w:cstheme="minorHAnsi"/>
          <w:color w:val="231F20"/>
        </w:rPr>
        <w:t xml:space="preserve">news </w:t>
      </w:r>
      <w:r w:rsidR="00A707CA">
        <w:rPr>
          <w:rFonts w:cstheme="minorHAnsi"/>
          <w:color w:val="231F20"/>
        </w:rPr>
        <w:t xml:space="preserve">and </w:t>
      </w:r>
      <w:r w:rsidR="007061A6" w:rsidRPr="00A707CA">
        <w:rPr>
          <w:rFonts w:cstheme="minorHAnsi"/>
          <w:color w:val="231F20"/>
        </w:rPr>
        <w:t>critici</w:t>
      </w:r>
      <w:r w:rsidR="007061A6">
        <w:rPr>
          <w:rFonts w:cstheme="minorHAnsi"/>
          <w:color w:val="231F20"/>
        </w:rPr>
        <w:t xml:space="preserve">sm </w:t>
      </w:r>
      <w:r w:rsidR="00125C63">
        <w:rPr>
          <w:rFonts w:cstheme="minorHAnsi"/>
          <w:color w:val="231F20"/>
        </w:rPr>
        <w:t xml:space="preserve">on social media </w:t>
      </w:r>
      <w:r w:rsidR="00A707CA">
        <w:rPr>
          <w:rFonts w:cstheme="minorHAnsi"/>
          <w:color w:val="231F20"/>
        </w:rPr>
        <w:t>are</w:t>
      </w:r>
      <w:r w:rsidR="00125C63">
        <w:rPr>
          <w:rFonts w:cstheme="minorHAnsi"/>
          <w:color w:val="231F20"/>
        </w:rPr>
        <w:t xml:space="preserve"> </w:t>
      </w:r>
      <w:r w:rsidR="007061A6">
        <w:rPr>
          <w:rFonts w:cstheme="minorHAnsi"/>
          <w:color w:val="231F20"/>
        </w:rPr>
        <w:t>informative</w:t>
      </w:r>
      <w:r w:rsidR="00125C63">
        <w:rPr>
          <w:rFonts w:cstheme="minorHAnsi"/>
          <w:color w:val="231F20"/>
        </w:rPr>
        <w:t xml:space="preserve">, </w:t>
      </w:r>
      <w:r w:rsidR="007061A6">
        <w:rPr>
          <w:rFonts w:cstheme="minorHAnsi"/>
          <w:color w:val="231F20"/>
        </w:rPr>
        <w:t xml:space="preserve">it is </w:t>
      </w:r>
      <w:r w:rsidR="00125C63">
        <w:rPr>
          <w:rFonts w:cstheme="minorHAnsi"/>
          <w:color w:val="231F20"/>
        </w:rPr>
        <w:t xml:space="preserve">not </w:t>
      </w:r>
      <w:r w:rsidR="007061A6">
        <w:rPr>
          <w:rFonts w:cstheme="minorHAnsi"/>
          <w:color w:val="231F20"/>
        </w:rPr>
        <w:t xml:space="preserve">the best </w:t>
      </w:r>
      <w:r w:rsidR="00125C63">
        <w:rPr>
          <w:rFonts w:cstheme="minorHAnsi"/>
          <w:color w:val="231F20"/>
        </w:rPr>
        <w:t xml:space="preserve">way to </w:t>
      </w:r>
      <w:r w:rsidR="00A707CA">
        <w:rPr>
          <w:rFonts w:cstheme="minorHAnsi"/>
          <w:color w:val="231F20"/>
        </w:rPr>
        <w:t>educate the public</w:t>
      </w:r>
      <w:r w:rsidR="00BD5C0D">
        <w:rPr>
          <w:rFonts w:cstheme="minorHAnsi"/>
          <w:color w:val="231F20"/>
        </w:rPr>
        <w:t xml:space="preserve"> how to distinguish true emergency cases</w:t>
      </w:r>
      <w:r w:rsidR="009B2C07">
        <w:rPr>
          <w:rFonts w:cstheme="minorHAnsi"/>
          <w:color w:val="231F20"/>
        </w:rPr>
        <w:t>.</w:t>
      </w:r>
      <w:r w:rsidR="00125C63">
        <w:rPr>
          <w:rFonts w:cstheme="minorHAnsi"/>
          <w:color w:val="231F20"/>
        </w:rPr>
        <w:t xml:space="preserve"> </w:t>
      </w:r>
    </w:p>
    <w:p w14:paraId="7B54EF2B" w14:textId="574322CE" w:rsidR="006C789A" w:rsidRDefault="00277500" w:rsidP="00277500">
      <w:pPr>
        <w:jc w:val="both"/>
        <w:rPr>
          <w:rFonts w:cstheme="minorHAnsi"/>
          <w:color w:val="231F20"/>
        </w:rPr>
      </w:pPr>
      <w:r>
        <w:rPr>
          <w:rFonts w:cstheme="minorHAnsi"/>
          <w:color w:val="231F20"/>
        </w:rPr>
        <w:t xml:space="preserve">Overall, </w:t>
      </w:r>
      <w:r w:rsidR="0077455B">
        <w:rPr>
          <w:rFonts w:cstheme="minorHAnsi"/>
          <w:color w:val="231F20"/>
        </w:rPr>
        <w:t>I am</w:t>
      </w:r>
      <w:r w:rsidRPr="0034332B">
        <w:rPr>
          <w:rFonts w:cstheme="minorHAnsi"/>
          <w:color w:val="231F20"/>
        </w:rPr>
        <w:t xml:space="preserve"> concerned</w:t>
      </w:r>
      <w:r w:rsidR="00AC14AF">
        <w:rPr>
          <w:rFonts w:cstheme="minorHAnsi"/>
          <w:color w:val="231F20"/>
        </w:rPr>
        <w:t xml:space="preserve"> that</w:t>
      </w:r>
      <w:r w:rsidRPr="0034332B">
        <w:rPr>
          <w:rFonts w:cstheme="minorHAnsi"/>
          <w:color w:val="231F20"/>
        </w:rPr>
        <w:t xml:space="preserve"> the</w:t>
      </w:r>
      <w:r w:rsidR="00AC14AF">
        <w:rPr>
          <w:rFonts w:cstheme="minorHAnsi"/>
          <w:color w:val="231F20"/>
        </w:rPr>
        <w:t xml:space="preserve"> current</w:t>
      </w:r>
      <w:r w:rsidRPr="0034332B">
        <w:rPr>
          <w:rFonts w:cstheme="minorHAnsi"/>
          <w:color w:val="231F20"/>
        </w:rPr>
        <w:t xml:space="preserve"> policy, instead of relieving the hospital burden, stimulates the demand for emergency services and </w:t>
      </w:r>
      <w:r w:rsidR="00333E91">
        <w:rPr>
          <w:rFonts w:cstheme="minorHAnsi"/>
          <w:color w:val="231F20"/>
        </w:rPr>
        <w:t>expand</w:t>
      </w:r>
      <w:r w:rsidRPr="0034332B">
        <w:rPr>
          <w:rFonts w:cstheme="minorHAnsi"/>
          <w:color w:val="231F20"/>
        </w:rPr>
        <w:t xml:space="preserve"> healthcare spending by </w:t>
      </w:r>
      <w:r w:rsidR="00333E91">
        <w:rPr>
          <w:rFonts w:cstheme="minorHAnsi"/>
          <w:color w:val="231F20"/>
        </w:rPr>
        <w:t>siphoning off patients from urgent care centers and physician offices to</w:t>
      </w:r>
      <w:r w:rsidRPr="0034332B">
        <w:rPr>
          <w:rFonts w:cstheme="minorHAnsi"/>
          <w:color w:val="231F20"/>
        </w:rPr>
        <w:t xml:space="preserve"> </w:t>
      </w:r>
      <w:r w:rsidR="00333E91">
        <w:rPr>
          <w:rFonts w:cstheme="minorHAnsi"/>
          <w:color w:val="231F20"/>
        </w:rPr>
        <w:t xml:space="preserve">the </w:t>
      </w:r>
      <w:r w:rsidRPr="0034332B">
        <w:rPr>
          <w:rFonts w:cstheme="minorHAnsi"/>
          <w:color w:val="231F20"/>
        </w:rPr>
        <w:t>high cost</w:t>
      </w:r>
      <w:r w:rsidR="00333E91">
        <w:rPr>
          <w:rFonts w:cstheme="minorHAnsi"/>
          <w:color w:val="231F20"/>
        </w:rPr>
        <w:t xml:space="preserve"> ED</w:t>
      </w:r>
      <w:r w:rsidRPr="0034332B">
        <w:rPr>
          <w:rFonts w:cstheme="minorHAnsi"/>
          <w:color w:val="231F20"/>
        </w:rPr>
        <w:t xml:space="preserve"> setting.</w:t>
      </w:r>
      <w:r w:rsidR="00333E91">
        <w:rPr>
          <w:rFonts w:cstheme="minorHAnsi"/>
          <w:color w:val="231F20"/>
        </w:rPr>
        <w:t xml:space="preserve"> In addition, by focusing on low-acuity and well-insured patients, freestanding EDs may have negative impact on the financial status of hospital-based EDs. </w:t>
      </w:r>
    </w:p>
    <w:p w14:paraId="19D2A6A5" w14:textId="2F1C5D73" w:rsidR="008436A7" w:rsidRPr="006266AA" w:rsidRDefault="001D2B52" w:rsidP="001D2B52">
      <w:pPr>
        <w:rPr>
          <w:rFonts w:cstheme="minorHAnsi"/>
          <w:b/>
          <w:color w:val="FF0000"/>
          <w:sz w:val="44"/>
          <w:szCs w:val="44"/>
        </w:rPr>
      </w:pPr>
      <w:r>
        <w:rPr>
          <w:rFonts w:cstheme="minorHAnsi"/>
          <w:b/>
          <w:color w:val="FF0000"/>
          <w:sz w:val="44"/>
          <w:szCs w:val="44"/>
        </w:rPr>
        <w:t>Limitations</w:t>
      </w:r>
      <w:r w:rsidR="006266AA">
        <w:rPr>
          <w:rFonts w:cstheme="minorHAnsi"/>
          <w:b/>
          <w:color w:val="FF0000"/>
          <w:sz w:val="44"/>
          <w:szCs w:val="44"/>
        </w:rPr>
        <w:t xml:space="preserve"> </w:t>
      </w:r>
    </w:p>
    <w:p w14:paraId="3E137C05" w14:textId="61995FCA" w:rsidR="006C789A" w:rsidRPr="0034332B" w:rsidRDefault="00204F82" w:rsidP="006C789A">
      <w:pPr>
        <w:jc w:val="both"/>
        <w:rPr>
          <w:rFonts w:cstheme="minorHAnsi"/>
          <w:color w:val="231F20"/>
        </w:rPr>
      </w:pPr>
      <w:r>
        <w:rPr>
          <w:rFonts w:cstheme="minorHAnsi"/>
        </w:rPr>
        <w:t>My research ha</w:t>
      </w:r>
      <w:r w:rsidR="00BD5C0D">
        <w:rPr>
          <w:rFonts w:cstheme="minorHAnsi"/>
        </w:rPr>
        <w:t>s</w:t>
      </w:r>
      <w:r>
        <w:rPr>
          <w:rFonts w:cstheme="minorHAnsi"/>
        </w:rPr>
        <w:t xml:space="preserve"> </w:t>
      </w:r>
      <w:proofErr w:type="gramStart"/>
      <w:r>
        <w:rPr>
          <w:rFonts w:cstheme="minorHAnsi"/>
        </w:rPr>
        <w:t>a number of</w:t>
      </w:r>
      <w:proofErr w:type="gramEnd"/>
      <w:r>
        <w:rPr>
          <w:rFonts w:cstheme="minorHAnsi"/>
        </w:rPr>
        <w:t xml:space="preserve"> limitations. </w:t>
      </w:r>
      <w:r w:rsidR="00FE0790">
        <w:rPr>
          <w:rFonts w:cstheme="minorHAnsi"/>
        </w:rPr>
        <w:t xml:space="preserve">The first </w:t>
      </w:r>
      <w:r w:rsidR="00EA3731">
        <w:rPr>
          <w:rFonts w:cstheme="minorHAnsi"/>
        </w:rPr>
        <w:t xml:space="preserve">is the inability to </w:t>
      </w:r>
      <w:r w:rsidR="006816F6">
        <w:rPr>
          <w:rFonts w:cstheme="minorHAnsi"/>
        </w:rPr>
        <w:t xml:space="preserve">separate the visits in main hospitals and its satellite </w:t>
      </w:r>
      <w:r w:rsidR="00EA3731">
        <w:rPr>
          <w:rFonts w:cstheme="minorHAnsi"/>
        </w:rPr>
        <w:t xml:space="preserve">EDs. </w:t>
      </w:r>
      <w:r w:rsidR="0022152C" w:rsidRPr="007C7B2A">
        <w:rPr>
          <w:rFonts w:cstheme="minorHAnsi"/>
          <w:color w:val="231F20"/>
        </w:rPr>
        <w:t>Noticeably, the</w:t>
      </w:r>
      <w:r w:rsidR="00BD5C0D">
        <w:rPr>
          <w:rFonts w:cstheme="minorHAnsi"/>
          <w:color w:val="231F20"/>
        </w:rPr>
        <w:t xml:space="preserve"> </w:t>
      </w:r>
      <w:r w:rsidR="0022152C" w:rsidRPr="007C7B2A">
        <w:rPr>
          <w:rFonts w:cstheme="minorHAnsi"/>
          <w:color w:val="231F20"/>
        </w:rPr>
        <w:t xml:space="preserve">increase in ED visits stems in part from building up satellite ED sites. </w:t>
      </w:r>
      <w:r w:rsidR="007815AE">
        <w:rPr>
          <w:rFonts w:cstheme="minorHAnsi"/>
        </w:rPr>
        <w:t xml:space="preserve">Though I found significant increase in visits by owning satellite EDs, it is hard to suggest whether the increased visits </w:t>
      </w:r>
      <w:r w:rsidR="00BD5C0D">
        <w:rPr>
          <w:rFonts w:cstheme="minorHAnsi"/>
        </w:rPr>
        <w:t>were</w:t>
      </w:r>
      <w:r w:rsidR="007815AE">
        <w:rPr>
          <w:rFonts w:cstheme="minorHAnsi"/>
        </w:rPr>
        <w:t xml:space="preserve"> fully contributed by the satellite EDs. If the main hospital</w:t>
      </w:r>
      <w:r w:rsidR="00DD3917">
        <w:rPr>
          <w:rFonts w:cstheme="minorHAnsi"/>
        </w:rPr>
        <w:t>s also had strong increase in ED visits</w:t>
      </w:r>
      <w:r w:rsidR="0017420D">
        <w:rPr>
          <w:rFonts w:cstheme="minorHAnsi"/>
        </w:rPr>
        <w:t xml:space="preserve"> compared with hospitals </w:t>
      </w:r>
      <w:r w:rsidR="0017420D">
        <w:rPr>
          <w:rFonts w:cstheme="minorHAnsi"/>
        </w:rPr>
        <w:lastRenderedPageBreak/>
        <w:t>without satellite EDs</w:t>
      </w:r>
      <w:r w:rsidR="00DD3917">
        <w:rPr>
          <w:rFonts w:cstheme="minorHAnsi"/>
        </w:rPr>
        <w:t>, then no change</w:t>
      </w:r>
      <w:r w:rsidR="0017420D">
        <w:rPr>
          <w:rFonts w:cstheme="minorHAnsi"/>
        </w:rPr>
        <w:t>s</w:t>
      </w:r>
      <w:r w:rsidR="00DD3917">
        <w:rPr>
          <w:rFonts w:cstheme="minorHAnsi"/>
        </w:rPr>
        <w:t xml:space="preserve"> in wait times or drop-out rates </w:t>
      </w:r>
      <w:r w:rsidR="0017420D">
        <w:rPr>
          <w:rFonts w:cstheme="minorHAnsi"/>
        </w:rPr>
        <w:t>d</w:t>
      </w:r>
      <w:r w:rsidR="001518AA">
        <w:rPr>
          <w:rFonts w:cstheme="minorHAnsi"/>
        </w:rPr>
        <w:t>id</w:t>
      </w:r>
      <w:r w:rsidR="0017420D">
        <w:rPr>
          <w:rFonts w:cstheme="minorHAnsi"/>
        </w:rPr>
        <w:t xml:space="preserve"> not mean</w:t>
      </w:r>
      <w:r w:rsidR="00DD3917">
        <w:rPr>
          <w:rFonts w:cstheme="minorHAnsi"/>
        </w:rPr>
        <w:t xml:space="preserve"> hospitals </w:t>
      </w:r>
      <w:r w:rsidR="001518AA">
        <w:rPr>
          <w:rFonts w:cstheme="minorHAnsi"/>
        </w:rPr>
        <w:t>had</w:t>
      </w:r>
      <w:r w:rsidR="0017420D">
        <w:rPr>
          <w:rFonts w:cstheme="minorHAnsi"/>
        </w:rPr>
        <w:t xml:space="preserve"> not </w:t>
      </w:r>
      <w:r w:rsidR="00DD3917">
        <w:rPr>
          <w:rFonts w:cstheme="minorHAnsi"/>
        </w:rPr>
        <w:t xml:space="preserve">put efforts to </w:t>
      </w:r>
      <w:r w:rsidR="0017420D">
        <w:rPr>
          <w:rFonts w:cstheme="minorHAnsi"/>
        </w:rPr>
        <w:t xml:space="preserve">solve overcrowding situations. </w:t>
      </w:r>
      <w:r w:rsidR="006C789A">
        <w:rPr>
          <w:rFonts w:cstheme="minorHAnsi"/>
        </w:rPr>
        <w:t xml:space="preserve">In addition, </w:t>
      </w:r>
      <w:r w:rsidR="001518AA">
        <w:rPr>
          <w:rFonts w:cstheme="minorHAnsi"/>
        </w:rPr>
        <w:t xml:space="preserve">the </w:t>
      </w:r>
      <w:r w:rsidR="006C789A">
        <w:rPr>
          <w:rFonts w:cstheme="minorHAnsi"/>
        </w:rPr>
        <w:t xml:space="preserve">AHA data doesn’t provide hospital population information. It is hard to measure whether the visit volume reach hospital capacity. </w:t>
      </w:r>
      <w:r w:rsidR="006C789A" w:rsidRPr="0034332B">
        <w:rPr>
          <w:rFonts w:cstheme="minorHAnsi"/>
          <w:color w:val="231F20"/>
        </w:rPr>
        <w:t xml:space="preserve">No influence in volume of visits and wait times may due to hospital capacity. It is possible that the entry of freestanding EDs changed population structure in traditional EDs by attracting </w:t>
      </w:r>
      <w:r w:rsidR="006C789A">
        <w:rPr>
          <w:rFonts w:cstheme="minorHAnsi"/>
          <w:color w:val="231F20"/>
        </w:rPr>
        <w:t>low</w:t>
      </w:r>
      <w:r w:rsidR="006C789A" w:rsidRPr="0034332B">
        <w:rPr>
          <w:rFonts w:cstheme="minorHAnsi"/>
          <w:color w:val="231F20"/>
        </w:rPr>
        <w:t>-</w:t>
      </w:r>
      <w:r w:rsidR="006C789A">
        <w:rPr>
          <w:rFonts w:cstheme="minorHAnsi"/>
          <w:color w:val="231F20"/>
        </w:rPr>
        <w:t xml:space="preserve">acuity </w:t>
      </w:r>
      <w:r w:rsidR="006C789A" w:rsidRPr="0034332B">
        <w:rPr>
          <w:rFonts w:cstheme="minorHAnsi"/>
          <w:color w:val="231F20"/>
        </w:rPr>
        <w:t>and well-insured patients away</w:t>
      </w:r>
      <w:r w:rsidR="006C789A">
        <w:rPr>
          <w:rFonts w:cstheme="minorHAnsi"/>
          <w:color w:val="231F20"/>
        </w:rPr>
        <w:t xml:space="preserve"> from hospitals</w:t>
      </w:r>
      <w:r w:rsidR="006C789A">
        <w:rPr>
          <w:rFonts w:cstheme="minorHAnsi"/>
        </w:rPr>
        <w:t xml:space="preserve">. </w:t>
      </w:r>
      <w:r w:rsidR="006C789A">
        <w:rPr>
          <w:rFonts w:cstheme="minorHAnsi"/>
          <w:color w:val="231F20"/>
        </w:rPr>
        <w:t xml:space="preserve">The entry might make hospitals financial vulnerable. </w:t>
      </w:r>
    </w:p>
    <w:p w14:paraId="4AC64847" w14:textId="3A4DB93B" w:rsidR="006816F6" w:rsidRDefault="006C789A" w:rsidP="00A707CA">
      <w:pPr>
        <w:jc w:val="both"/>
        <w:rPr>
          <w:rFonts w:cstheme="minorHAnsi"/>
        </w:rPr>
      </w:pPr>
      <w:r>
        <w:rPr>
          <w:rFonts w:cstheme="minorHAnsi"/>
        </w:rPr>
        <w:t>M</w:t>
      </w:r>
      <w:r w:rsidR="00DD3917">
        <w:rPr>
          <w:rFonts w:cstheme="minorHAnsi"/>
        </w:rPr>
        <w:t xml:space="preserve">y provider data only </w:t>
      </w:r>
      <w:r w:rsidR="0017420D">
        <w:rPr>
          <w:rFonts w:cstheme="minorHAnsi"/>
        </w:rPr>
        <w:t>limits to</w:t>
      </w:r>
      <w:r w:rsidR="00DD3917">
        <w:rPr>
          <w:rFonts w:cstheme="minorHAnsi"/>
        </w:rPr>
        <w:t xml:space="preserve"> the locations of hospital-based EDs and two types of freestanding EDs. I </w:t>
      </w:r>
      <w:r w:rsidR="0017420D">
        <w:rPr>
          <w:rFonts w:cstheme="minorHAnsi"/>
        </w:rPr>
        <w:t>do not have entry</w:t>
      </w:r>
      <w:r w:rsidR="006816F6">
        <w:rPr>
          <w:rFonts w:cstheme="minorHAnsi"/>
        </w:rPr>
        <w:t xml:space="preserve"> and exit </w:t>
      </w:r>
      <w:r w:rsidR="00FC5544">
        <w:rPr>
          <w:rFonts w:cstheme="minorHAnsi"/>
        </w:rPr>
        <w:t>data</w:t>
      </w:r>
      <w:r w:rsidR="006816F6">
        <w:rPr>
          <w:rFonts w:cstheme="minorHAnsi"/>
        </w:rPr>
        <w:t xml:space="preserve"> </w:t>
      </w:r>
      <w:r w:rsidR="0017420D">
        <w:rPr>
          <w:rFonts w:cstheme="minorHAnsi"/>
        </w:rPr>
        <w:t>of</w:t>
      </w:r>
      <w:r w:rsidR="006816F6">
        <w:rPr>
          <w:rFonts w:cstheme="minorHAnsi"/>
        </w:rPr>
        <w:t xml:space="preserve"> </w:t>
      </w:r>
      <w:r w:rsidR="0017420D">
        <w:rPr>
          <w:rFonts w:cstheme="minorHAnsi"/>
        </w:rPr>
        <w:t>urgent care centers</w:t>
      </w:r>
      <w:r w:rsidR="00FC5544">
        <w:rPr>
          <w:rFonts w:cstheme="minorHAnsi"/>
        </w:rPr>
        <w:t>, or physician offices</w:t>
      </w:r>
      <w:r w:rsidR="0017420D">
        <w:rPr>
          <w:rFonts w:cstheme="minorHAnsi"/>
        </w:rPr>
        <w:t xml:space="preserve">. </w:t>
      </w:r>
      <w:r w:rsidR="00FC5544">
        <w:rPr>
          <w:rFonts w:cstheme="minorHAnsi"/>
        </w:rPr>
        <w:t xml:space="preserve">If available, </w:t>
      </w:r>
      <w:r w:rsidR="001518AA">
        <w:rPr>
          <w:rFonts w:cstheme="minorHAnsi"/>
        </w:rPr>
        <w:t xml:space="preserve">the number of </w:t>
      </w:r>
      <w:r>
        <w:rPr>
          <w:rFonts w:cstheme="minorHAnsi"/>
        </w:rPr>
        <w:t>those</w:t>
      </w:r>
      <w:r w:rsidR="00FC5544">
        <w:rPr>
          <w:rFonts w:cstheme="minorHAnsi"/>
        </w:rPr>
        <w:t xml:space="preserve"> providers in the markets could be another explanatory variable</w:t>
      </w:r>
      <w:r>
        <w:rPr>
          <w:rFonts w:cstheme="minorHAnsi"/>
        </w:rPr>
        <w:t xml:space="preserve"> </w:t>
      </w:r>
      <w:r w:rsidR="00FC5544">
        <w:rPr>
          <w:rFonts w:cstheme="minorHAnsi"/>
        </w:rPr>
        <w:t>in my analys</w:t>
      </w:r>
      <w:r w:rsidR="001518AA">
        <w:rPr>
          <w:rFonts w:cstheme="minorHAnsi"/>
        </w:rPr>
        <w:t>e</w:t>
      </w:r>
      <w:r w:rsidR="00FC5544">
        <w:rPr>
          <w:rFonts w:cstheme="minorHAnsi"/>
        </w:rPr>
        <w:t>s to</w:t>
      </w:r>
      <w:r>
        <w:rPr>
          <w:rFonts w:cstheme="minorHAnsi"/>
        </w:rPr>
        <w:t xml:space="preserve"> show market competition. </w:t>
      </w:r>
    </w:p>
    <w:p w14:paraId="1983590E" w14:textId="054DC989" w:rsidR="00276448" w:rsidRPr="008D1863" w:rsidRDefault="00C24715" w:rsidP="006C789A">
      <w:pPr>
        <w:jc w:val="both"/>
        <w:rPr>
          <w:rFonts w:cstheme="minorHAnsi"/>
        </w:rPr>
      </w:pPr>
      <w:r>
        <w:rPr>
          <w:rFonts w:cstheme="minorHAnsi"/>
        </w:rPr>
        <w:t>Finally</w:t>
      </w:r>
      <w:r w:rsidR="00D42C35">
        <w:rPr>
          <w:rFonts w:cstheme="minorHAnsi"/>
        </w:rPr>
        <w:t xml:space="preserve">, </w:t>
      </w:r>
      <w:r>
        <w:rPr>
          <w:rFonts w:cstheme="minorHAnsi"/>
        </w:rPr>
        <w:t>the opening and closing date</w:t>
      </w:r>
      <w:r w:rsidR="0017420D">
        <w:rPr>
          <w:rFonts w:cstheme="minorHAnsi"/>
        </w:rPr>
        <w:t>s of satellite EDs</w:t>
      </w:r>
      <w:r>
        <w:rPr>
          <w:rFonts w:cstheme="minorHAnsi"/>
        </w:rPr>
        <w:t xml:space="preserve"> are collected through website search and phone call to their </w:t>
      </w:r>
      <w:r w:rsidR="0017420D">
        <w:rPr>
          <w:rFonts w:cstheme="minorHAnsi"/>
        </w:rPr>
        <w:t xml:space="preserve">located </w:t>
      </w:r>
      <w:r>
        <w:rPr>
          <w:rFonts w:cstheme="minorHAnsi"/>
        </w:rPr>
        <w:t xml:space="preserve">sites. It </w:t>
      </w:r>
      <w:r w:rsidR="009A6864">
        <w:rPr>
          <w:rFonts w:cstheme="minorHAnsi"/>
        </w:rPr>
        <w:t>wa</w:t>
      </w:r>
      <w:r>
        <w:rPr>
          <w:rFonts w:cstheme="minorHAnsi"/>
        </w:rPr>
        <w:t xml:space="preserve">s hard to </w:t>
      </w:r>
      <w:r w:rsidR="006970A3">
        <w:rPr>
          <w:rFonts w:cstheme="minorHAnsi"/>
        </w:rPr>
        <w:t>catch up with</w:t>
      </w:r>
      <w:r>
        <w:rPr>
          <w:rFonts w:cstheme="minorHAnsi"/>
        </w:rPr>
        <w:t xml:space="preserve"> every </w:t>
      </w:r>
      <w:r w:rsidR="006970A3">
        <w:rPr>
          <w:rFonts w:cstheme="minorHAnsi"/>
        </w:rPr>
        <w:t>ownership change</w:t>
      </w:r>
      <w:r>
        <w:rPr>
          <w:rFonts w:cstheme="minorHAnsi"/>
        </w:rPr>
        <w:t xml:space="preserve">, </w:t>
      </w:r>
      <w:r w:rsidR="006970A3">
        <w:rPr>
          <w:rFonts w:cstheme="minorHAnsi"/>
        </w:rPr>
        <w:t xml:space="preserve">hospital </w:t>
      </w:r>
      <w:r>
        <w:rPr>
          <w:rFonts w:cstheme="minorHAnsi"/>
        </w:rPr>
        <w:t xml:space="preserve">acquisition </w:t>
      </w:r>
      <w:r w:rsidR="006970A3">
        <w:rPr>
          <w:rFonts w:cstheme="minorHAnsi"/>
        </w:rPr>
        <w:t>or</w:t>
      </w:r>
      <w:r>
        <w:rPr>
          <w:rFonts w:cstheme="minorHAnsi"/>
        </w:rPr>
        <w:t xml:space="preserve"> merg</w:t>
      </w:r>
      <w:r w:rsidR="006970A3">
        <w:rPr>
          <w:rFonts w:cstheme="minorHAnsi"/>
        </w:rPr>
        <w:t>e</w:t>
      </w:r>
      <w:r>
        <w:rPr>
          <w:rFonts w:cstheme="minorHAnsi"/>
        </w:rPr>
        <w:t xml:space="preserve">. By contrast, the independent freestanding ED data came from </w:t>
      </w:r>
      <w:r w:rsidR="006970A3" w:rsidRPr="006D6416">
        <w:rPr>
          <w:rFonts w:cstheme="minorHAnsi"/>
          <w:color w:val="231F20"/>
        </w:rPr>
        <w:t xml:space="preserve">the Texas Department of State Health Services </w:t>
      </w:r>
      <w:r>
        <w:rPr>
          <w:rFonts w:cstheme="minorHAnsi"/>
        </w:rPr>
        <w:t>official records</w:t>
      </w:r>
      <w:r w:rsidR="006970A3">
        <w:rPr>
          <w:rFonts w:cstheme="minorHAnsi"/>
        </w:rPr>
        <w:t xml:space="preserve"> </w:t>
      </w:r>
      <w:r w:rsidR="001518AA">
        <w:rPr>
          <w:rFonts w:cstheme="minorHAnsi"/>
        </w:rPr>
        <w:t>were</w:t>
      </w:r>
      <w:r w:rsidR="006970A3">
        <w:rPr>
          <w:rFonts w:cstheme="minorHAnsi"/>
        </w:rPr>
        <w:t xml:space="preserve"> more accurate</w:t>
      </w:r>
      <w:r>
        <w:rPr>
          <w:rFonts w:cstheme="minorHAnsi"/>
        </w:rPr>
        <w:t xml:space="preserve">. </w:t>
      </w:r>
      <w:r w:rsidR="00D42C35">
        <w:rPr>
          <w:rFonts w:cstheme="minorHAnsi"/>
        </w:rPr>
        <w:t>Additionally, I manually assign</w:t>
      </w:r>
      <w:r w:rsidR="001518AA">
        <w:rPr>
          <w:rFonts w:cstheme="minorHAnsi"/>
        </w:rPr>
        <w:t>ed</w:t>
      </w:r>
      <w:r w:rsidR="00D42C35">
        <w:rPr>
          <w:rFonts w:cstheme="minorHAnsi"/>
        </w:rPr>
        <w:t xml:space="preserve"> each satellite ED to its closest parent hospital(s) if there </w:t>
      </w:r>
      <w:r w:rsidR="001518AA">
        <w:rPr>
          <w:rFonts w:cstheme="minorHAnsi"/>
        </w:rPr>
        <w:t>were</w:t>
      </w:r>
      <w:r w:rsidR="00D42C35">
        <w:rPr>
          <w:rFonts w:cstheme="minorHAnsi"/>
        </w:rPr>
        <w:t xml:space="preserve"> more than one campus under the hospital system. For example, the Houston Methodist satellite EDs in Sugar Land area, which is more than 20 miles away from downtown Houston, </w:t>
      </w:r>
      <w:r w:rsidR="001518AA">
        <w:rPr>
          <w:rFonts w:cstheme="minorHAnsi"/>
        </w:rPr>
        <w:t>were</w:t>
      </w:r>
      <w:r w:rsidR="00D42C35">
        <w:rPr>
          <w:rFonts w:cstheme="minorHAnsi"/>
        </w:rPr>
        <w:t xml:space="preserve"> assigned to Houston Methodist- Sugar Land campus. </w:t>
      </w:r>
    </w:p>
    <w:p w14:paraId="7DCC237F" w14:textId="2381B1E7" w:rsidR="005224EA" w:rsidRPr="008A3C15" w:rsidRDefault="005224EA">
      <w:pPr>
        <w:rPr>
          <w:rFonts w:cstheme="minorHAnsi"/>
          <w:b/>
          <w:color w:val="FF0000"/>
          <w:sz w:val="44"/>
          <w:szCs w:val="44"/>
        </w:rPr>
      </w:pPr>
      <w:r w:rsidRPr="008A3C15">
        <w:rPr>
          <w:rFonts w:cstheme="minorHAnsi"/>
          <w:b/>
          <w:color w:val="FF0000"/>
          <w:sz w:val="44"/>
          <w:szCs w:val="44"/>
        </w:rPr>
        <w:t>Conclusion</w:t>
      </w:r>
    </w:p>
    <w:p w14:paraId="172AAD45" w14:textId="4A3E418A" w:rsidR="0022152C" w:rsidRPr="007C7B2A" w:rsidRDefault="0034332B" w:rsidP="0022152C">
      <w:pPr>
        <w:jc w:val="both"/>
        <w:rPr>
          <w:rFonts w:cstheme="minorHAnsi"/>
          <w:color w:val="231F20"/>
        </w:rPr>
      </w:pPr>
      <w:r w:rsidRPr="0034332B">
        <w:rPr>
          <w:rFonts w:cstheme="minorHAnsi"/>
          <w:color w:val="231F20"/>
        </w:rPr>
        <w:t xml:space="preserve">My research </w:t>
      </w:r>
      <w:r w:rsidR="002D727B">
        <w:rPr>
          <w:rFonts w:cstheme="minorHAnsi"/>
          <w:color w:val="231F20"/>
        </w:rPr>
        <w:t>suggest</w:t>
      </w:r>
      <w:r w:rsidR="001518AA">
        <w:rPr>
          <w:rFonts w:cstheme="minorHAnsi"/>
          <w:color w:val="231F20"/>
        </w:rPr>
        <w:t>ed</w:t>
      </w:r>
      <w:r w:rsidR="002D727B">
        <w:rPr>
          <w:rFonts w:cstheme="minorHAnsi"/>
          <w:color w:val="231F20"/>
        </w:rPr>
        <w:t xml:space="preserve"> the entry </w:t>
      </w:r>
      <w:r w:rsidRPr="0034332B">
        <w:rPr>
          <w:rFonts w:cstheme="minorHAnsi"/>
          <w:color w:val="231F20"/>
        </w:rPr>
        <w:t>of freestanding EDs</w:t>
      </w:r>
      <w:r w:rsidR="002D727B">
        <w:rPr>
          <w:rFonts w:cstheme="minorHAnsi"/>
          <w:color w:val="231F20"/>
        </w:rPr>
        <w:t xml:space="preserve"> </w:t>
      </w:r>
      <w:r w:rsidR="00AC14AF">
        <w:rPr>
          <w:rFonts w:cstheme="minorHAnsi"/>
          <w:color w:val="231F20"/>
        </w:rPr>
        <w:t>had</w:t>
      </w:r>
      <w:r w:rsidR="002D727B">
        <w:rPr>
          <w:rFonts w:cstheme="minorHAnsi"/>
          <w:color w:val="231F20"/>
        </w:rPr>
        <w:t xml:space="preserve"> no impact</w:t>
      </w:r>
      <w:r w:rsidRPr="0034332B">
        <w:rPr>
          <w:rFonts w:cstheme="minorHAnsi"/>
          <w:color w:val="231F20"/>
        </w:rPr>
        <w:t xml:space="preserve"> on </w:t>
      </w:r>
      <w:r w:rsidR="00AC14AF">
        <w:rPr>
          <w:rFonts w:cstheme="minorHAnsi"/>
          <w:color w:val="231F20"/>
        </w:rPr>
        <w:t xml:space="preserve">reducing ED congestion in </w:t>
      </w:r>
      <w:r w:rsidRPr="0034332B">
        <w:rPr>
          <w:rFonts w:cstheme="minorHAnsi"/>
          <w:color w:val="231F20"/>
        </w:rPr>
        <w:t xml:space="preserve">nearby hospitals, different from traditional views by many physicians and policy makers that freestanding EDs might reduce patient volume at nearby hospital-based EDs. </w:t>
      </w:r>
      <w:r w:rsidR="00EE459A">
        <w:rPr>
          <w:rFonts w:cstheme="minorHAnsi"/>
          <w:color w:val="231F20"/>
        </w:rPr>
        <w:t>The freestanding EDs</w:t>
      </w:r>
      <w:r w:rsidR="00AC14AF">
        <w:rPr>
          <w:rFonts w:cstheme="minorHAnsi"/>
          <w:color w:val="231F20"/>
        </w:rPr>
        <w:t xml:space="preserve"> nearby</w:t>
      </w:r>
      <w:r w:rsidR="00EE459A">
        <w:rPr>
          <w:rFonts w:cstheme="minorHAnsi"/>
          <w:color w:val="231F20"/>
        </w:rPr>
        <w:t xml:space="preserve">, </w:t>
      </w:r>
      <w:r w:rsidR="002D727B">
        <w:rPr>
          <w:rFonts w:cstheme="minorHAnsi"/>
          <w:color w:val="231F20"/>
        </w:rPr>
        <w:t>neither decrease visit volume, nor improve effectiveness in hospital-based EDs</w:t>
      </w:r>
      <w:r w:rsidR="00EE459A">
        <w:rPr>
          <w:rFonts w:cstheme="minorHAnsi"/>
          <w:color w:val="231F20"/>
        </w:rPr>
        <w:t>,</w:t>
      </w:r>
      <w:r w:rsidR="002D727B">
        <w:rPr>
          <w:rFonts w:cstheme="minorHAnsi"/>
          <w:color w:val="231F20"/>
        </w:rPr>
        <w:t xml:space="preserve"> might</w:t>
      </w:r>
      <w:r w:rsidR="00EE459A">
        <w:rPr>
          <w:rFonts w:cstheme="minorHAnsi"/>
          <w:color w:val="231F20"/>
        </w:rPr>
        <w:t xml:space="preserve"> serve as supplements</w:t>
      </w:r>
      <w:r w:rsidR="002D727B">
        <w:rPr>
          <w:rFonts w:cstheme="minorHAnsi"/>
          <w:color w:val="231F20"/>
        </w:rPr>
        <w:t xml:space="preserve"> rather than substitutes </w:t>
      </w:r>
      <w:r w:rsidR="00EE459A">
        <w:rPr>
          <w:rFonts w:cstheme="minorHAnsi"/>
          <w:color w:val="231F20"/>
        </w:rPr>
        <w:t xml:space="preserve">to the </w:t>
      </w:r>
      <w:r w:rsidR="00A52DF5">
        <w:rPr>
          <w:rFonts w:cstheme="minorHAnsi"/>
          <w:color w:val="231F20"/>
        </w:rPr>
        <w:t xml:space="preserve">already-expensive </w:t>
      </w:r>
      <w:r w:rsidR="00EE459A">
        <w:rPr>
          <w:rFonts w:cstheme="minorHAnsi"/>
          <w:color w:val="231F20"/>
        </w:rPr>
        <w:t>healthcare system and</w:t>
      </w:r>
      <w:r w:rsidR="002D727B">
        <w:rPr>
          <w:rFonts w:cstheme="minorHAnsi"/>
          <w:color w:val="231F20"/>
        </w:rPr>
        <w:t xml:space="preserve"> function as</w:t>
      </w:r>
      <w:r w:rsidR="00EE459A">
        <w:rPr>
          <w:rFonts w:cstheme="minorHAnsi"/>
          <w:color w:val="231F20"/>
        </w:rPr>
        <w:t xml:space="preserve"> luxury products to well-insured patients. </w:t>
      </w:r>
      <w:r w:rsidR="002D727B">
        <w:rPr>
          <w:rFonts w:cstheme="minorHAnsi"/>
          <w:color w:val="231F20"/>
        </w:rPr>
        <w:t>My work also show</w:t>
      </w:r>
      <w:r w:rsidR="001518AA">
        <w:rPr>
          <w:rFonts w:cstheme="minorHAnsi"/>
          <w:color w:val="231F20"/>
        </w:rPr>
        <w:t>ed</w:t>
      </w:r>
      <w:r w:rsidR="002D727B">
        <w:rPr>
          <w:rFonts w:cstheme="minorHAnsi"/>
          <w:color w:val="231F20"/>
        </w:rPr>
        <w:t xml:space="preserve"> s</w:t>
      </w:r>
      <w:r w:rsidR="00461DB4" w:rsidRPr="00FC7574">
        <w:rPr>
          <w:rFonts w:cstheme="minorHAnsi"/>
          <w:color w:val="231F20"/>
        </w:rPr>
        <w:t xml:space="preserve">etting up hospital-affiliated satellite </w:t>
      </w:r>
      <w:r w:rsidR="00461DB4" w:rsidRPr="002D727B">
        <w:rPr>
          <w:rFonts w:cstheme="minorHAnsi"/>
          <w:color w:val="231F20"/>
        </w:rPr>
        <w:t>ED</w:t>
      </w:r>
      <w:r w:rsidR="002D727B">
        <w:rPr>
          <w:rFonts w:cstheme="minorHAnsi"/>
          <w:color w:val="231F20"/>
        </w:rPr>
        <w:t xml:space="preserve">s </w:t>
      </w:r>
      <w:r w:rsidR="00461DB4" w:rsidRPr="002D727B">
        <w:rPr>
          <w:rFonts w:cstheme="minorHAnsi"/>
          <w:color w:val="231F20"/>
        </w:rPr>
        <w:t>increase</w:t>
      </w:r>
      <w:r w:rsidR="002D727B">
        <w:rPr>
          <w:rFonts w:cstheme="minorHAnsi"/>
          <w:color w:val="231F20"/>
        </w:rPr>
        <w:t>d</w:t>
      </w:r>
      <w:r w:rsidR="00461DB4" w:rsidRPr="002D727B">
        <w:rPr>
          <w:rFonts w:cstheme="minorHAnsi"/>
          <w:color w:val="231F20"/>
        </w:rPr>
        <w:t xml:space="preserve"> owner</w:t>
      </w:r>
      <w:r w:rsidR="00461DB4" w:rsidRPr="00FC7574">
        <w:rPr>
          <w:rFonts w:cstheme="minorHAnsi"/>
          <w:color w:val="231F20"/>
        </w:rPr>
        <w:t xml:space="preserve"> hospitals’ visits</w:t>
      </w:r>
      <w:r w:rsidR="00461DB4">
        <w:rPr>
          <w:rFonts w:cstheme="minorHAnsi"/>
          <w:color w:val="231F20"/>
        </w:rPr>
        <w:t xml:space="preserve">, but it </w:t>
      </w:r>
      <w:r w:rsidR="001518AA">
        <w:rPr>
          <w:rFonts w:cstheme="minorHAnsi"/>
          <w:color w:val="231F20"/>
        </w:rPr>
        <w:t>didn’t</w:t>
      </w:r>
      <w:r w:rsidR="00461DB4">
        <w:rPr>
          <w:rFonts w:cstheme="minorHAnsi"/>
          <w:color w:val="231F20"/>
        </w:rPr>
        <w:t xml:space="preserve"> help with </w:t>
      </w:r>
      <w:r w:rsidR="002D727B">
        <w:rPr>
          <w:rFonts w:cstheme="minorHAnsi"/>
          <w:color w:val="231F20"/>
        </w:rPr>
        <w:t xml:space="preserve">the congestion problem in their main hospitals. </w:t>
      </w:r>
      <w:r w:rsidR="00276448">
        <w:rPr>
          <w:rFonts w:cstheme="minorHAnsi"/>
          <w:color w:val="231F20"/>
        </w:rPr>
        <w:t>These findings convey valuable information for the current debate over the cost and regulations towards the freestanding EDs in the U.S.</w:t>
      </w:r>
      <w:r w:rsidR="0022152C" w:rsidRPr="0022152C">
        <w:t xml:space="preserve"> </w:t>
      </w:r>
      <w:r w:rsidR="0022152C">
        <w:t xml:space="preserve">The initial hopes of the policy have so far proved misplaced. It shifted the incentives from relieving hospital congestion to creating more demand. </w:t>
      </w:r>
      <w:r w:rsidR="0022152C" w:rsidRPr="007C7B2A">
        <w:rPr>
          <w:rFonts w:cstheme="minorHAnsi"/>
          <w:color w:val="231F20"/>
        </w:rPr>
        <w:t>Regulators must closely consider how to implement effective low-cost solutions to ED crowding.</w:t>
      </w:r>
    </w:p>
    <w:p w14:paraId="158038F3" w14:textId="39DC90B0" w:rsidR="0022152C" w:rsidRDefault="00276448" w:rsidP="00276448">
      <w:pPr>
        <w:jc w:val="both"/>
        <w:rPr>
          <w:rFonts w:cstheme="minorHAnsi"/>
          <w:color w:val="231F20"/>
        </w:rPr>
      </w:pPr>
      <w:r>
        <w:rPr>
          <w:rFonts w:cstheme="minorHAnsi"/>
          <w:color w:val="231F20"/>
        </w:rPr>
        <w:t>It calls</w:t>
      </w:r>
      <w:r w:rsidR="008E625D">
        <w:rPr>
          <w:rFonts w:cstheme="minorHAnsi"/>
          <w:color w:val="231F20"/>
        </w:rPr>
        <w:t xml:space="preserve"> for future research about</w:t>
      </w:r>
      <w:r w:rsidR="001974D5">
        <w:rPr>
          <w:rFonts w:cstheme="minorHAnsi"/>
          <w:color w:val="231F20"/>
        </w:rPr>
        <w:t xml:space="preserve"> how freestanding </w:t>
      </w:r>
      <w:r w:rsidR="00474FA5">
        <w:rPr>
          <w:rFonts w:cstheme="minorHAnsi"/>
        </w:rPr>
        <w:t>EDs impact overall health care population</w:t>
      </w:r>
      <w:r w:rsidR="001974D5">
        <w:rPr>
          <w:rFonts w:cstheme="minorHAnsi"/>
        </w:rPr>
        <w:t xml:space="preserve"> and healthcare </w:t>
      </w:r>
      <w:r w:rsidR="00474FA5">
        <w:rPr>
          <w:rFonts w:cstheme="minorHAnsi"/>
        </w:rPr>
        <w:t>costs within a community</w:t>
      </w:r>
      <w:r>
        <w:rPr>
          <w:rFonts w:cstheme="minorHAnsi"/>
        </w:rPr>
        <w:t>, or how</w:t>
      </w:r>
      <w:r w:rsidR="00474FA5">
        <w:rPr>
          <w:rFonts w:cstheme="minorHAnsi"/>
        </w:rPr>
        <w:t xml:space="preserve"> population changes within a hospital</w:t>
      </w:r>
      <w:r>
        <w:rPr>
          <w:rFonts w:cstheme="minorHAnsi"/>
        </w:rPr>
        <w:t xml:space="preserve">. </w:t>
      </w:r>
      <w:r w:rsidR="00474FA5">
        <w:rPr>
          <w:rFonts w:cstheme="minorHAnsi"/>
        </w:rPr>
        <w:t xml:space="preserve"> </w:t>
      </w:r>
      <w:r>
        <w:rPr>
          <w:rFonts w:cstheme="minorHAnsi"/>
          <w:color w:val="231F20"/>
        </w:rPr>
        <w:t>My work also raises questions to the benefits in patients’ perspective, and how the freestanding EDs</w:t>
      </w:r>
      <w:r w:rsidR="001518AA">
        <w:rPr>
          <w:rFonts w:cstheme="minorHAnsi"/>
          <w:color w:val="231F20"/>
        </w:rPr>
        <w:t xml:space="preserve"> will</w:t>
      </w:r>
      <w:r>
        <w:rPr>
          <w:rFonts w:cstheme="minorHAnsi"/>
          <w:color w:val="231F20"/>
        </w:rPr>
        <w:t xml:space="preserve"> response to a reduction in</w:t>
      </w:r>
      <w:r w:rsidR="001518AA">
        <w:rPr>
          <w:rFonts w:cstheme="minorHAnsi"/>
          <w:color w:val="231F20"/>
        </w:rPr>
        <w:t xml:space="preserve"> insurance</w:t>
      </w:r>
      <w:r>
        <w:rPr>
          <w:rFonts w:cstheme="minorHAnsi"/>
          <w:color w:val="231F20"/>
        </w:rPr>
        <w:t xml:space="preserve"> reimbursement. </w:t>
      </w:r>
    </w:p>
    <w:p w14:paraId="1B47F258" w14:textId="3C4AE393" w:rsidR="001E5E06" w:rsidRDefault="006941AE" w:rsidP="00AD7C53">
      <w:pPr>
        <w:rPr>
          <w:rFonts w:cstheme="minorHAnsi"/>
          <w:b/>
          <w:color w:val="FF0000"/>
          <w:sz w:val="44"/>
          <w:szCs w:val="44"/>
        </w:rPr>
      </w:pPr>
      <w:r>
        <w:rPr>
          <w:rFonts w:cstheme="minorHAnsi"/>
          <w:b/>
          <w:color w:val="FF0000"/>
          <w:sz w:val="44"/>
          <w:szCs w:val="44"/>
        </w:rPr>
        <w:t>Reference</w:t>
      </w:r>
    </w:p>
    <w:p w14:paraId="1C3D2253" w14:textId="77777777" w:rsidR="00B76D31" w:rsidRPr="00954C1A" w:rsidRDefault="00B76D31" w:rsidP="00B76D31">
      <w:pPr>
        <w:autoSpaceDE w:val="0"/>
        <w:autoSpaceDN w:val="0"/>
        <w:adjustRightInd w:val="0"/>
        <w:ind w:left="418" w:hangingChars="190" w:hanging="418"/>
      </w:pPr>
      <w:r>
        <w:t xml:space="preserve">1. Last Name, First, &amp;Middle Initials, Last Name </w:t>
      </w:r>
      <w:proofErr w:type="spellStart"/>
      <w:r>
        <w:t>First&amp;Middle</w:t>
      </w:r>
      <w:proofErr w:type="spellEnd"/>
      <w:r>
        <w:t xml:space="preserve"> Initials, … up to six authors, then et al. Article Title. Journal Name. Year; Volume(issue):pages.</w:t>
      </w:r>
    </w:p>
    <w:p w14:paraId="705A80C6" w14:textId="77777777" w:rsidR="00B76D31" w:rsidRDefault="00B76D31" w:rsidP="00B76D31">
      <w:pPr>
        <w:ind w:left="450" w:hanging="450"/>
      </w:pPr>
      <w:r>
        <w:t xml:space="preserve">2. Last Name </w:t>
      </w:r>
      <w:proofErr w:type="spellStart"/>
      <w:r>
        <w:t>First&amp;Middle</w:t>
      </w:r>
      <w:proofErr w:type="spellEnd"/>
      <w:r>
        <w:t xml:space="preserve"> Initials, Last Name </w:t>
      </w:r>
      <w:proofErr w:type="spellStart"/>
      <w:r>
        <w:t>First&amp;Middle</w:t>
      </w:r>
      <w:proofErr w:type="spellEnd"/>
      <w:r>
        <w:t xml:space="preserve"> Initials, …up to six authors, et al. </w:t>
      </w:r>
      <w:r w:rsidRPr="0053491E">
        <w:rPr>
          <w:highlight w:val="yellow"/>
        </w:rPr>
        <w:t>Chapter</w:t>
      </w:r>
      <w:r>
        <w:t xml:space="preserve"> Title. In: Book Editors. Book Title. City, State: Publisher Name, Year of Pub., pages.</w:t>
      </w:r>
    </w:p>
    <w:p w14:paraId="5B0B15BA" w14:textId="77777777" w:rsidR="00B76D31" w:rsidRDefault="00B76D31" w:rsidP="00B76D31">
      <w:pPr>
        <w:ind w:left="450" w:hanging="450"/>
      </w:pPr>
      <w:r>
        <w:t xml:space="preserve">3. </w:t>
      </w:r>
      <w:r w:rsidRPr="0053491E">
        <w:rPr>
          <w:highlight w:val="yellow"/>
        </w:rPr>
        <w:t>Website Owner or authors</w:t>
      </w:r>
      <w:r>
        <w:t>. Name of web document or sub-site. Available at: URL. Accessed Date (most recent).</w:t>
      </w:r>
    </w:p>
    <w:p w14:paraId="7953BB16" w14:textId="77777777" w:rsidR="00B76D31" w:rsidRDefault="00B76D31" w:rsidP="00BB37F0">
      <w:pPr>
        <w:jc w:val="both"/>
      </w:pPr>
    </w:p>
    <w:p w14:paraId="391B2891" w14:textId="0200F215" w:rsidR="00BB37F0" w:rsidRPr="00BB37F0" w:rsidRDefault="00BB37F0" w:rsidP="00BB37F0">
      <w:pPr>
        <w:jc w:val="both"/>
        <w:rPr>
          <w:rFonts w:cstheme="minorHAnsi"/>
          <w:color w:val="231F20"/>
        </w:rPr>
      </w:pPr>
      <w:r>
        <w:t xml:space="preserve">Ashwood JS, Gaynor M, </w:t>
      </w:r>
      <w:proofErr w:type="spellStart"/>
      <w:r>
        <w:t>Setodji</w:t>
      </w:r>
      <w:proofErr w:type="spellEnd"/>
      <w:r>
        <w:t xml:space="preserve"> CM, Reid RO, Weber E, Mehrotra A. Retail clinic visits for low-acuity conditions increase utilization and spending. Health Affairs. 2016 Mar 1;35(3):449-55.</w:t>
      </w:r>
    </w:p>
    <w:p w14:paraId="6B4FDFAB" w14:textId="12EE6E5D" w:rsidR="00602742" w:rsidRDefault="0082061E" w:rsidP="0082061E">
      <w:r>
        <w:t>Dark C, Xu Y, Ho V. Freestanding emergency departments preferentially locate in areas with higher household income. Health Affairs. 2017 Oct 1;36(10):1712-9.</w:t>
      </w:r>
    </w:p>
    <w:p w14:paraId="600CA0AD" w14:textId="01D44C4B" w:rsidR="009A6864" w:rsidRDefault="009A6864" w:rsidP="0082061E">
      <w:r>
        <w:t xml:space="preserve">Muller KE, </w:t>
      </w:r>
      <w:proofErr w:type="spellStart"/>
      <w:r>
        <w:t>Lavange</w:t>
      </w:r>
      <w:proofErr w:type="spellEnd"/>
      <w:r>
        <w:t xml:space="preserve"> LM, Ramey SL, Ramey CT. Power calculations for general linear multivariate models including repeated measures applications. Journal of the American Statistical Association. 1992 Dec 1;87(420):1209-26.</w:t>
      </w:r>
    </w:p>
    <w:p w14:paraId="54B12AD5" w14:textId="6AB200BC" w:rsidR="00AF6243" w:rsidRDefault="00AF6243" w:rsidP="00AF6243">
      <w:pPr>
        <w:jc w:val="both"/>
      </w:pPr>
      <w:r>
        <w:t>Dark C, Xu Y, Kao E. Comparative throughput at freestanding emergency departments versus hospital-based emergency departments: A pilot study. The American journal of emergency medicine. 2017 Dec 28.</w:t>
      </w:r>
    </w:p>
    <w:p w14:paraId="79E61BCF" w14:textId="3A78AD79" w:rsidR="0082061E" w:rsidRDefault="0082061E" w:rsidP="0082061E">
      <w:r>
        <w:t>Ho V, Metcalfe L, Dark C, Vu L, Weber E, Shelton Jr G, Underwood HR. Comparing utilization and costs of care in freestanding emergency departments, hospital emergency departments, and urgent care centers. Annals of emergency medicine. 2017 Dec 1;70(6):846-57.</w:t>
      </w:r>
    </w:p>
    <w:p w14:paraId="0F02F52F" w14:textId="016A55EF" w:rsidR="0082061E" w:rsidRDefault="0082061E" w:rsidP="0082061E">
      <w:r>
        <w:t>Pines JM, Zocchi MS, Black BS. A Comparison of Care Delivered in Hospital‐based and Freestanding Emergency Departments. Academic emergency medicine. 2018 May;25(5):538-50.</w:t>
      </w:r>
    </w:p>
    <w:p w14:paraId="676F6A18" w14:textId="2CBEA4FE" w:rsidR="00DE5F92" w:rsidRDefault="00DE5F92" w:rsidP="0082061E">
      <w:r>
        <w:t>Medicare Payment Advisory Commission. Report to the Congress: Medicare and the health care delivery system. 2016, 2017, 2018. Washington, DC: MedPAC.</w:t>
      </w:r>
    </w:p>
    <w:p w14:paraId="3EE2E432" w14:textId="47279B25" w:rsidR="00412756" w:rsidRDefault="00412756" w:rsidP="0082061E">
      <w:r>
        <w:t>Jones SR, Carley S, Harrison M. An introduction to power and sample size estimation. Emergency Medicine Journal. 2003 Sep 1;20(5):453-8.</w:t>
      </w:r>
    </w:p>
    <w:p w14:paraId="7032C804" w14:textId="11608534" w:rsidR="00DE5F92" w:rsidRDefault="00DE5F92" w:rsidP="0082061E">
      <w:r>
        <w:t>Schuur JD, Baker O, Freshman J, Wilson M, Cutler DM. Where do freestanding emergency departments choose to locate? A national inventory and geographic analysis in three states. Annals of emergency medicine. 2017 Apr 1;69(4):383-92.</w:t>
      </w:r>
    </w:p>
    <w:p w14:paraId="23894988" w14:textId="66BCB48B" w:rsidR="00AF6243" w:rsidRDefault="00D878FB" w:rsidP="00AF6243">
      <w:pPr>
        <w:jc w:val="both"/>
      </w:pPr>
      <w:proofErr w:type="spellStart"/>
      <w:r>
        <w:t>Henneman</w:t>
      </w:r>
      <w:proofErr w:type="spellEnd"/>
      <w:r>
        <w:t xml:space="preserve"> PL, Nathanson BH, Li H, Tomaszewski A, Pines JM, Handel DA, </w:t>
      </w:r>
      <w:proofErr w:type="spellStart"/>
      <w:r>
        <w:t>Lemanski</w:t>
      </w:r>
      <w:proofErr w:type="spellEnd"/>
      <w:r>
        <w:t xml:space="preserve"> MJ. Is outpatient emergency department care profitable? Hourly contribution margins by insurance for patients discharged from an emergency department. Annals of emergency medicine. 2014 Apr 1;63(4):404-11.</w:t>
      </w:r>
      <w:r w:rsidR="00B0376C">
        <w:rPr>
          <w:rStyle w:val="FootnoteReference"/>
        </w:rPr>
        <w:footnoteReference w:id="18"/>
      </w:r>
    </w:p>
    <w:p w14:paraId="70671CF9" w14:textId="222873C5" w:rsidR="00B0376C" w:rsidRDefault="009E1774" w:rsidP="009E1774">
      <w:r>
        <w:t xml:space="preserve">National Center for Health Statistics. Emergency Department Visits. Available at: </w:t>
      </w:r>
      <w:r w:rsidRPr="009E1774">
        <w:t>https://www.cdc.gov/nchs/fastats/emergency-department.htm</w:t>
      </w:r>
      <w:r>
        <w:t>. Accessed August 1, 2018</w:t>
      </w:r>
    </w:p>
    <w:p w14:paraId="5D8C070A" w14:textId="1FB86CB5" w:rsidR="009E1774" w:rsidRDefault="009E1774" w:rsidP="00AF6243">
      <w:pPr>
        <w:jc w:val="both"/>
      </w:pPr>
      <w:proofErr w:type="spellStart"/>
      <w:r>
        <w:t>Lawner</w:t>
      </w:r>
      <w:proofErr w:type="spellEnd"/>
      <w:r>
        <w:t xml:space="preserve"> BJ, </w:t>
      </w:r>
      <w:proofErr w:type="spellStart"/>
      <w:r>
        <w:t>Hirshon</w:t>
      </w:r>
      <w:proofErr w:type="spellEnd"/>
      <w:r>
        <w:t xml:space="preserve"> JM, Comer AC, </w:t>
      </w:r>
      <w:proofErr w:type="spellStart"/>
      <w:r>
        <w:t>Nable</w:t>
      </w:r>
      <w:proofErr w:type="spellEnd"/>
      <w:r>
        <w:t xml:space="preserve"> JV, Kelly J, </w:t>
      </w:r>
      <w:proofErr w:type="spellStart"/>
      <w:r>
        <w:t>Alcorta</w:t>
      </w:r>
      <w:proofErr w:type="spellEnd"/>
      <w:r>
        <w:t xml:space="preserve"> RL, Pimentel L, </w:t>
      </w:r>
      <w:proofErr w:type="spellStart"/>
      <w:r>
        <w:t>Tupe</w:t>
      </w:r>
      <w:proofErr w:type="spellEnd"/>
      <w:r>
        <w:t xml:space="preserve"> CL, </w:t>
      </w:r>
      <w:proofErr w:type="spellStart"/>
      <w:r>
        <w:t>Vanhoy</w:t>
      </w:r>
      <w:proofErr w:type="spellEnd"/>
      <w:r>
        <w:t xml:space="preserve"> MA, Browne BJ. The impact of a freestanding ED on a regional emergency medical services system. The American journal of emergency medicine. 2016 Aug 1;34(8):1342-6.</w:t>
      </w:r>
      <w:r>
        <w:rPr>
          <w:rStyle w:val="FootnoteReference"/>
        </w:rPr>
        <w:footnoteReference w:id="19"/>
      </w:r>
    </w:p>
    <w:p w14:paraId="012F2749" w14:textId="09D5F57F" w:rsidR="009E1774" w:rsidRDefault="009E1774" w:rsidP="00AF6243">
      <w:pPr>
        <w:jc w:val="both"/>
      </w:pPr>
      <w:r>
        <w:t>Maryland Health Care Commission. R</w:t>
      </w:r>
      <w:r w:rsidRPr="009E1774">
        <w:t>eport on the operation</w:t>
      </w:r>
      <w:r>
        <w:t>,</w:t>
      </w:r>
      <w:r w:rsidRPr="009E1774">
        <w:t xml:space="preserve"> utilizations</w:t>
      </w:r>
      <w:r>
        <w:t>,</w:t>
      </w:r>
      <w:r w:rsidRPr="009E1774">
        <w:t xml:space="preserve"> and financial performance of </w:t>
      </w:r>
      <w:r w:rsidR="000F1D58">
        <w:t>f</w:t>
      </w:r>
      <w:r w:rsidRPr="009E1774">
        <w:t>reestanding medical facilities</w:t>
      </w:r>
      <w:r w:rsidR="000F1D58">
        <w:t>. 2015. Annapolis, MD: MHCC</w:t>
      </w:r>
      <w:r w:rsidR="000F1D58">
        <w:rPr>
          <w:rStyle w:val="FootnoteReference"/>
        </w:rPr>
        <w:footnoteReference w:id="20"/>
      </w:r>
    </w:p>
    <w:p w14:paraId="7037BD82" w14:textId="5B3E94E3" w:rsidR="00D237E4" w:rsidRDefault="00D237E4" w:rsidP="00AF6243">
      <w:pPr>
        <w:jc w:val="both"/>
      </w:pPr>
      <w:proofErr w:type="spellStart"/>
      <w:r>
        <w:lastRenderedPageBreak/>
        <w:t>Weinick</w:t>
      </w:r>
      <w:proofErr w:type="spellEnd"/>
      <w:r>
        <w:t xml:space="preserve"> RM, Burns RM, Mehrotra A. Many emergency department visits could be managed at urgent care centers and retail clinics. Health affairs. 2010 Sep 1;29(9):1630-6.</w:t>
      </w:r>
    </w:p>
    <w:p w14:paraId="0AE2A5E7" w14:textId="668DFC1C" w:rsidR="00D237E4" w:rsidRDefault="00D237E4" w:rsidP="00AF6243">
      <w:pPr>
        <w:jc w:val="both"/>
      </w:pPr>
      <w:proofErr w:type="spellStart"/>
      <w:r>
        <w:t>Morganti</w:t>
      </w:r>
      <w:proofErr w:type="spellEnd"/>
      <w:r>
        <w:t xml:space="preserve"> KG, </w:t>
      </w:r>
      <w:proofErr w:type="spellStart"/>
      <w:r>
        <w:t>Bauhoff</w:t>
      </w:r>
      <w:proofErr w:type="spellEnd"/>
      <w:r>
        <w:t xml:space="preserve"> S, Blanchard JC, </w:t>
      </w:r>
      <w:proofErr w:type="spellStart"/>
      <w:r>
        <w:t>Abir</w:t>
      </w:r>
      <w:proofErr w:type="spellEnd"/>
      <w:r>
        <w:t xml:space="preserve"> M, </w:t>
      </w:r>
      <w:proofErr w:type="spellStart"/>
      <w:r>
        <w:t>Iyer</w:t>
      </w:r>
      <w:proofErr w:type="spellEnd"/>
      <w:r>
        <w:t xml:space="preserve"> N, Smith A, </w:t>
      </w:r>
      <w:proofErr w:type="spellStart"/>
      <w:r>
        <w:t>Vesely</w:t>
      </w:r>
      <w:proofErr w:type="spellEnd"/>
      <w:r>
        <w:t xml:space="preserve"> JV, Okeke EN, </w:t>
      </w:r>
      <w:proofErr w:type="spellStart"/>
      <w:r>
        <w:t>Kellermann</w:t>
      </w:r>
      <w:proofErr w:type="spellEnd"/>
      <w:r>
        <w:t xml:space="preserve"> AL. The evolving role of emergency departments in the United States. Rand health quarterly. 2013;3(2).</w:t>
      </w:r>
    </w:p>
    <w:p w14:paraId="3A181012" w14:textId="50D2B2A5" w:rsidR="00B0376C" w:rsidRDefault="00B0376C" w:rsidP="00AF6243">
      <w:pPr>
        <w:jc w:val="both"/>
      </w:pPr>
      <w:r w:rsidRPr="00207739">
        <w:t>Pines JM, Decker SL, Hu T. Exogenous predictors of national performance measures for emergency department crowding. Annals of emergency medicine. 2012 Sep 1;60(3):293-8.</w:t>
      </w:r>
    </w:p>
    <w:p w14:paraId="58697983" w14:textId="50A51355" w:rsidR="00AF6243" w:rsidRDefault="00AF6243" w:rsidP="00AF6243">
      <w:pPr>
        <w:jc w:val="both"/>
      </w:pPr>
      <w:proofErr w:type="spellStart"/>
      <w:r>
        <w:t>Jouriles</w:t>
      </w:r>
      <w:proofErr w:type="spellEnd"/>
      <w:r>
        <w:t xml:space="preserve"> N, Simon EL, Griffin P, Williams CJ, Haller NA. Posted emergency department wait times are not always accurate. Academic Emergency Medicine. 2013 Apr;20(4):421-3.</w:t>
      </w:r>
    </w:p>
    <w:p w14:paraId="65937E47" w14:textId="0EF6D14C" w:rsidR="00412756" w:rsidRDefault="00207739" w:rsidP="00AF6243">
      <w:pPr>
        <w:jc w:val="both"/>
      </w:pPr>
      <w:r>
        <w:t xml:space="preserve">On the </w:t>
      </w:r>
      <w:r w:rsidR="00412756">
        <w:t>News:</w:t>
      </w:r>
    </w:p>
    <w:p w14:paraId="76660CCA" w14:textId="6D0A92C9" w:rsidR="00B0376C" w:rsidRDefault="00412756" w:rsidP="009E1774">
      <w:r>
        <w:t xml:space="preserve">Texas Health Resources and Adeptus Health Join Forces to Enhance Access to Emergency Care in North Texas. </w:t>
      </w:r>
      <w:r w:rsidR="009E1774">
        <w:t xml:space="preserve">Available at: </w:t>
      </w:r>
      <w:r w:rsidRPr="00412756">
        <w:t>https://www.texashealth.org/news/texas-health-resources-and-adeptus-health-join-forces-to-enhance-access-to-emergency-care-in-north-texas</w:t>
      </w:r>
      <w:r>
        <w:t>. Published May 11, 2016. Access</w:t>
      </w:r>
      <w:r w:rsidR="009E1774">
        <w:t>ed</w:t>
      </w:r>
      <w:r>
        <w:t xml:space="preserve"> </w:t>
      </w:r>
      <w:r w:rsidR="009E1774">
        <w:t>August 1,</w:t>
      </w:r>
      <w:r>
        <w:t xml:space="preserve"> 2018</w:t>
      </w:r>
    </w:p>
    <w:p w14:paraId="13F5D141" w14:textId="71439CE2" w:rsidR="00AF6243" w:rsidRDefault="00412756" w:rsidP="009E1774">
      <w:r>
        <w:t xml:space="preserve">Gabriel B. Anthem Cracks Down on ER Visits – Insurer will only pay for what it deems an emergency. </w:t>
      </w:r>
      <w:r w:rsidR="009E1774">
        <w:t xml:space="preserve">AARP </w:t>
      </w:r>
      <w:r>
        <w:t>Health Insurance.</w:t>
      </w:r>
      <w:r w:rsidR="009E1774">
        <w:t xml:space="preserve"> Available at: </w:t>
      </w:r>
      <w:r w:rsidR="009E1774" w:rsidRPr="009E1774">
        <w:t>https://www.aarp.org/health/health-insurance/info-2018/anthem-non-emergency-visits-fd.html</w:t>
      </w:r>
      <w:r w:rsidR="009E1774">
        <w:t>.</w:t>
      </w:r>
      <w:r>
        <w:t xml:space="preserve"> Published Feb 8, 2018. Access</w:t>
      </w:r>
      <w:r w:rsidR="009E1774">
        <w:t>ed</w:t>
      </w:r>
      <w:r>
        <w:t xml:space="preserve"> August</w:t>
      </w:r>
      <w:r w:rsidR="009E1774">
        <w:t xml:space="preserve"> 1</w:t>
      </w:r>
      <w:r>
        <w:t>, 2018</w:t>
      </w:r>
      <w:r>
        <w:rPr>
          <w:rStyle w:val="FootnoteReference"/>
        </w:rPr>
        <w:footnoteReference w:id="21"/>
      </w:r>
    </w:p>
    <w:p w14:paraId="49E68090" w14:textId="34F082C8" w:rsidR="00D237E4" w:rsidRPr="00D237E4" w:rsidRDefault="00D237E4" w:rsidP="009E1774">
      <w:pPr>
        <w:rPr>
          <w:rFonts w:cstheme="minorHAnsi"/>
          <w:color w:val="231F20"/>
        </w:rPr>
      </w:pPr>
      <w:r>
        <w:t xml:space="preserve">Rice R. Some Blue Cross policyholders could pay 100% of ER bill if visit is not life threatening. Dallas News. Available at: </w:t>
      </w:r>
      <w:r w:rsidRPr="00D237E4">
        <w:t>https://www.dallasnews.com/business/health-care/2016/08/02/free-standingemergency-rooms-helping-wealthy</w:t>
      </w:r>
      <w:r>
        <w:t>. April 25, 2018. Accessed August 1, 2018</w:t>
      </w:r>
    </w:p>
    <w:p w14:paraId="466E91D7" w14:textId="0528D084" w:rsidR="00D237E4" w:rsidRPr="00D237E4" w:rsidRDefault="00D237E4" w:rsidP="009E1774">
      <w:pPr>
        <w:rPr>
          <w:rFonts w:cstheme="minorHAnsi"/>
          <w:color w:val="231F20"/>
        </w:rPr>
      </w:pPr>
      <w:r>
        <w:t xml:space="preserve">Rice R. Are free-standing emergency rooms helping only the wealthy? Dallas News. Available at: </w:t>
      </w:r>
      <w:r w:rsidRPr="00D237E4">
        <w:t>https://www.dallasnews.com/business/health-care/2018/04/25/blue-cross-hmo-emergency-bills-policy</w:t>
      </w:r>
      <w:r>
        <w:t>. Published Aug 2, 2016. Accessed August 1, 2018</w:t>
      </w:r>
    </w:p>
    <w:p w14:paraId="3EC6E976" w14:textId="364D6052" w:rsidR="0082061E" w:rsidRPr="0082061E" w:rsidRDefault="000F1D58" w:rsidP="0082061E">
      <w:pPr>
        <w:rPr>
          <w:rFonts w:cstheme="minorHAnsi"/>
          <w:color w:val="231F20"/>
        </w:rPr>
      </w:pPr>
      <w:proofErr w:type="spellStart"/>
      <w:r>
        <w:rPr>
          <w:rFonts w:cstheme="minorHAnsi"/>
          <w:color w:val="231F20"/>
        </w:rPr>
        <w:t>Sutherly</w:t>
      </w:r>
      <w:proofErr w:type="spellEnd"/>
      <w:r>
        <w:rPr>
          <w:rFonts w:cstheme="minorHAnsi"/>
          <w:color w:val="231F20"/>
        </w:rPr>
        <w:t xml:space="preserve"> B. Free-standing emergency departments will drive up costs, some warn. Columbus Dispatch. </w:t>
      </w:r>
      <w:r>
        <w:t xml:space="preserve">Available </w:t>
      </w:r>
      <w:r>
        <w:rPr>
          <w:rFonts w:cstheme="minorHAnsi"/>
          <w:color w:val="231F20"/>
        </w:rPr>
        <w:t xml:space="preserve">at: </w:t>
      </w:r>
      <w:r w:rsidRPr="000F1D58">
        <w:rPr>
          <w:rFonts w:cstheme="minorHAnsi"/>
          <w:color w:val="231F20"/>
        </w:rPr>
        <w:t>http://www.dispatch.com/content/stories/local/2016/02/29/some-warn-that-free-standing-emergency-departments-will-drive-up-costs.html</w:t>
      </w:r>
      <w:r>
        <w:rPr>
          <w:rFonts w:cstheme="minorHAnsi"/>
          <w:color w:val="231F20"/>
        </w:rPr>
        <w:t xml:space="preserve">. </w:t>
      </w:r>
      <w:r>
        <w:t>Published Feb 29, 2016. Accessed August 1, 2018</w:t>
      </w:r>
    </w:p>
    <w:p w14:paraId="47113048" w14:textId="77777777" w:rsidR="00A16CCD" w:rsidRDefault="00A16CCD">
      <w:pPr>
        <w:rPr>
          <w:rFonts w:cstheme="minorHAnsi"/>
          <w:b/>
          <w:color w:val="FF0000"/>
          <w:sz w:val="44"/>
          <w:szCs w:val="44"/>
        </w:rPr>
      </w:pPr>
      <w:r>
        <w:rPr>
          <w:rFonts w:cstheme="minorHAnsi"/>
          <w:b/>
          <w:color w:val="FF0000"/>
          <w:sz w:val="44"/>
          <w:szCs w:val="44"/>
        </w:rPr>
        <w:br w:type="page"/>
      </w:r>
    </w:p>
    <w:p w14:paraId="104F5475" w14:textId="520C9085" w:rsidR="001E5E06" w:rsidRDefault="001E5E06" w:rsidP="001E5E06">
      <w:pPr>
        <w:rPr>
          <w:rFonts w:cstheme="minorHAnsi"/>
          <w:b/>
          <w:color w:val="FF0000"/>
          <w:sz w:val="44"/>
          <w:szCs w:val="44"/>
        </w:rPr>
      </w:pPr>
      <w:r>
        <w:rPr>
          <w:rFonts w:cstheme="minorHAnsi"/>
          <w:b/>
          <w:color w:val="FF0000"/>
          <w:sz w:val="44"/>
          <w:szCs w:val="44"/>
        </w:rPr>
        <w:lastRenderedPageBreak/>
        <w:t>Appendix</w:t>
      </w:r>
    </w:p>
    <w:p w14:paraId="1900EB30" w14:textId="1F485C01" w:rsidR="001E5E06" w:rsidRPr="00C42E9A" w:rsidRDefault="001E5E06" w:rsidP="001E5E06">
      <w:pPr>
        <w:rPr>
          <w:b/>
        </w:rPr>
      </w:pPr>
      <w:r w:rsidRPr="00C42E9A">
        <w:rPr>
          <w:rFonts w:cstheme="minorHAnsi"/>
          <w:b/>
          <w:color w:val="231F20"/>
        </w:rPr>
        <w:t xml:space="preserve">Appendix </w:t>
      </w:r>
      <w:r w:rsidR="000B0631" w:rsidRPr="00C42E9A">
        <w:rPr>
          <w:b/>
        </w:rPr>
        <w:t>Figure</w:t>
      </w:r>
      <w:r w:rsidRPr="00C42E9A">
        <w:rPr>
          <w:b/>
        </w:rPr>
        <w:t xml:space="preserve"> </w:t>
      </w:r>
      <w:r w:rsidR="000B0631" w:rsidRPr="00C42E9A">
        <w:rPr>
          <w:b/>
        </w:rPr>
        <w:t>1</w:t>
      </w:r>
      <w:r w:rsidRPr="00C42E9A">
        <w:rPr>
          <w:b/>
        </w:rPr>
        <w:t>. Texas Independent Freestanding Emergency Departments: Timing of Opening and Closings</w:t>
      </w:r>
    </w:p>
    <w:p w14:paraId="45E394C8" w14:textId="74F13045" w:rsidR="00180FEA" w:rsidRDefault="00180FEA" w:rsidP="001E5E06">
      <w:r>
        <w:rPr>
          <w:noProof/>
        </w:rPr>
        <w:drawing>
          <wp:inline distT="0" distB="0" distL="0" distR="0" wp14:anchorId="63D5CEFC" wp14:editId="758C2CA5">
            <wp:extent cx="4618298" cy="2349661"/>
            <wp:effectExtent l="0" t="0" r="11430" b="12700"/>
            <wp:docPr id="4" name="Chart 4">
              <a:extLst xmlns:a="http://schemas.openxmlformats.org/drawingml/2006/main">
                <a:ext uri="{FF2B5EF4-FFF2-40B4-BE49-F238E27FC236}">
                  <a16:creationId xmlns:a16="http://schemas.microsoft.com/office/drawing/2014/main" id="{843F2647-D5AA-44FF-B320-23C716587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0E7988" w14:textId="7443DF04" w:rsidR="00C42E9A" w:rsidRPr="00C42E9A" w:rsidRDefault="00C42E9A" w:rsidP="00C42E9A">
      <w:pPr>
        <w:jc w:val="both"/>
        <w:rPr>
          <w:sz w:val="18"/>
          <w:szCs w:val="18"/>
        </w:rPr>
      </w:pPr>
      <w:r w:rsidRPr="00C42E9A">
        <w:rPr>
          <w:b/>
          <w:sz w:val="18"/>
          <w:szCs w:val="18"/>
        </w:rPr>
        <w:t xml:space="preserve">Note: </w:t>
      </w:r>
      <w:r w:rsidR="00180FEA" w:rsidRPr="00180FEA">
        <w:rPr>
          <w:sz w:val="18"/>
          <w:szCs w:val="18"/>
        </w:rPr>
        <w:t xml:space="preserve">IFED stands for independent freestanding emergency department. </w:t>
      </w:r>
      <w:r w:rsidRPr="00180FEA">
        <w:rPr>
          <w:sz w:val="18"/>
          <w:szCs w:val="18"/>
        </w:rPr>
        <w:t>M</w:t>
      </w:r>
      <w:r w:rsidRPr="00C42E9A">
        <w:rPr>
          <w:sz w:val="18"/>
          <w:szCs w:val="18"/>
        </w:rPr>
        <w:t>ost of the closures happened in 2016 and 2017 were related to hospital acquisition, which means those independent freestanding EDs became hospital-affiliated satellite EDs. So far as observed, 59</w:t>
      </w:r>
      <w:r>
        <w:rPr>
          <w:sz w:val="18"/>
          <w:szCs w:val="18"/>
        </w:rPr>
        <w:t>/</w:t>
      </w:r>
      <w:r w:rsidR="00A857C3">
        <w:rPr>
          <w:sz w:val="18"/>
          <w:szCs w:val="18"/>
        </w:rPr>
        <w:t>113</w:t>
      </w:r>
      <w:r w:rsidRPr="00C42E9A">
        <w:rPr>
          <w:sz w:val="18"/>
          <w:szCs w:val="18"/>
        </w:rPr>
        <w:t xml:space="preserve"> closures </w:t>
      </w:r>
      <w:r>
        <w:rPr>
          <w:sz w:val="18"/>
          <w:szCs w:val="18"/>
        </w:rPr>
        <w:t>between 2010-2017 were</w:t>
      </w:r>
      <w:r w:rsidRPr="00C42E9A">
        <w:rPr>
          <w:sz w:val="18"/>
          <w:szCs w:val="18"/>
        </w:rPr>
        <w:t xml:space="preserve"> true closure, not related to any ownership change. </w:t>
      </w:r>
    </w:p>
    <w:p w14:paraId="34ACE3EC" w14:textId="07F5F103" w:rsidR="0068173E" w:rsidRDefault="00C42E9A" w:rsidP="0068173E">
      <w:pPr>
        <w:jc w:val="both"/>
        <w:rPr>
          <w:rFonts w:cstheme="minorHAnsi"/>
          <w:color w:val="231F20"/>
        </w:rPr>
      </w:pPr>
      <w:r w:rsidRPr="000B0631">
        <w:rPr>
          <w:rFonts w:cstheme="minorHAnsi"/>
          <w:color w:val="231F20"/>
        </w:rPr>
        <w:t xml:space="preserve">Appendix Table </w:t>
      </w:r>
      <w:r>
        <w:rPr>
          <w:rFonts w:cstheme="minorHAnsi"/>
          <w:color w:val="231F20"/>
        </w:rPr>
        <w:t>1</w:t>
      </w:r>
      <w:r w:rsidRPr="000B0631">
        <w:rPr>
          <w:rFonts w:cstheme="minorHAnsi"/>
          <w:color w:val="231F20"/>
        </w:rPr>
        <w:t>. Estimates of the changes in hospital-based emergency departments, associated with nearby competitors and various factors in 3-mile distance bands of the hospital-based emergency departments in Texas</w:t>
      </w:r>
    </w:p>
    <w:tbl>
      <w:tblPr>
        <w:tblStyle w:val="ListTable6Colorful-Accent3"/>
        <w:tblW w:w="9455" w:type="dxa"/>
        <w:tblLook w:val="04A0" w:firstRow="1" w:lastRow="0" w:firstColumn="1" w:lastColumn="0" w:noHBand="0" w:noVBand="1"/>
      </w:tblPr>
      <w:tblGrid>
        <w:gridCol w:w="2160"/>
        <w:gridCol w:w="1440"/>
        <w:gridCol w:w="1440"/>
        <w:gridCol w:w="1260"/>
        <w:gridCol w:w="1620"/>
        <w:gridCol w:w="1535"/>
      </w:tblGrid>
      <w:tr w:rsidR="00B7119C" w:rsidRPr="00B7119C" w14:paraId="1115D625" w14:textId="77777777" w:rsidTr="00B7119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CB154A9" w14:textId="77777777" w:rsidR="00B7119C" w:rsidRPr="00B7119C" w:rsidRDefault="00B7119C" w:rsidP="00B7119C">
            <w:pPr>
              <w:rPr>
                <w:rFonts w:ascii="Times New Roman" w:eastAsia="Times New Roman" w:hAnsi="Times New Roman" w:cs="Times New Roman"/>
                <w:sz w:val="24"/>
                <w:szCs w:val="24"/>
              </w:rPr>
            </w:pPr>
          </w:p>
        </w:tc>
        <w:tc>
          <w:tcPr>
            <w:tcW w:w="1440" w:type="dxa"/>
            <w:noWrap/>
            <w:hideMark/>
          </w:tcPr>
          <w:p w14:paraId="5A09A757" w14:textId="77777777" w:rsidR="00B7119C" w:rsidRPr="00B7119C" w:rsidRDefault="00B7119C" w:rsidP="00B711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Visit Volume</w:t>
            </w:r>
          </w:p>
        </w:tc>
        <w:tc>
          <w:tcPr>
            <w:tcW w:w="1440" w:type="dxa"/>
            <w:noWrap/>
            <w:hideMark/>
          </w:tcPr>
          <w:p w14:paraId="3F65AD8A" w14:textId="77777777" w:rsidR="00B7119C" w:rsidRPr="00B7119C" w:rsidRDefault="00B7119C" w:rsidP="00B711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Visit Volume</w:t>
            </w:r>
          </w:p>
        </w:tc>
        <w:tc>
          <w:tcPr>
            <w:tcW w:w="1260" w:type="dxa"/>
            <w:noWrap/>
            <w:hideMark/>
          </w:tcPr>
          <w:p w14:paraId="348A99E7" w14:textId="77777777" w:rsidR="00B7119C" w:rsidRPr="00B7119C" w:rsidRDefault="00B7119C" w:rsidP="00B711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Wait Time</w:t>
            </w:r>
          </w:p>
        </w:tc>
        <w:tc>
          <w:tcPr>
            <w:tcW w:w="1620" w:type="dxa"/>
            <w:noWrap/>
            <w:hideMark/>
          </w:tcPr>
          <w:p w14:paraId="443F02B8" w14:textId="77777777" w:rsidR="00B7119C" w:rsidRPr="00B7119C" w:rsidRDefault="00B7119C" w:rsidP="00B711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Discharge Time</w:t>
            </w:r>
          </w:p>
        </w:tc>
        <w:tc>
          <w:tcPr>
            <w:tcW w:w="1535" w:type="dxa"/>
            <w:noWrap/>
            <w:hideMark/>
          </w:tcPr>
          <w:p w14:paraId="4058287B" w14:textId="77777777" w:rsidR="00B7119C" w:rsidRPr="00B7119C" w:rsidRDefault="00B7119C" w:rsidP="00B711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Drop-out Rate</w:t>
            </w:r>
          </w:p>
        </w:tc>
      </w:tr>
      <w:tr w:rsidR="00B7119C" w:rsidRPr="00B7119C" w14:paraId="29201756"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DC50CA8" w14:textId="58E3FCD3"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own SE</w:t>
            </w:r>
            <w:r w:rsidR="001C4E89">
              <w:rPr>
                <w:rFonts w:ascii="Calibri" w:eastAsia="Times New Roman" w:hAnsi="Calibri" w:cs="Calibri"/>
                <w:color w:val="000000"/>
              </w:rPr>
              <w:t>D</w:t>
            </w:r>
          </w:p>
        </w:tc>
        <w:tc>
          <w:tcPr>
            <w:tcW w:w="1440" w:type="dxa"/>
            <w:noWrap/>
            <w:hideMark/>
          </w:tcPr>
          <w:p w14:paraId="5B8339E2"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0.131***</w:t>
            </w:r>
          </w:p>
        </w:tc>
        <w:tc>
          <w:tcPr>
            <w:tcW w:w="1440" w:type="dxa"/>
            <w:noWrap/>
            <w:hideMark/>
          </w:tcPr>
          <w:p w14:paraId="54507D6D"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0.131***</w:t>
            </w:r>
          </w:p>
        </w:tc>
        <w:tc>
          <w:tcPr>
            <w:tcW w:w="1260" w:type="dxa"/>
            <w:noWrap/>
            <w:hideMark/>
          </w:tcPr>
          <w:p w14:paraId="32AB4BA2"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-0.00172</w:t>
            </w:r>
          </w:p>
        </w:tc>
        <w:tc>
          <w:tcPr>
            <w:tcW w:w="1620" w:type="dxa"/>
            <w:noWrap/>
            <w:hideMark/>
          </w:tcPr>
          <w:p w14:paraId="70814B8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w:t>
            </w:r>
          </w:p>
        </w:tc>
        <w:tc>
          <w:tcPr>
            <w:tcW w:w="1535" w:type="dxa"/>
            <w:noWrap/>
            <w:hideMark/>
          </w:tcPr>
          <w:p w14:paraId="2B3B9DC3"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0.0419</w:t>
            </w:r>
          </w:p>
        </w:tc>
      </w:tr>
      <w:tr w:rsidR="00B7119C" w:rsidRPr="00B7119C" w14:paraId="5B6F51A5"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F2BFB62"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FSEDs in 3 miles</w:t>
            </w:r>
          </w:p>
        </w:tc>
        <w:tc>
          <w:tcPr>
            <w:tcW w:w="1440" w:type="dxa"/>
            <w:noWrap/>
            <w:hideMark/>
          </w:tcPr>
          <w:p w14:paraId="6557C0D5"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0.0034</w:t>
            </w:r>
          </w:p>
        </w:tc>
        <w:tc>
          <w:tcPr>
            <w:tcW w:w="1440" w:type="dxa"/>
            <w:noWrap/>
            <w:hideMark/>
          </w:tcPr>
          <w:p w14:paraId="728D8A3C"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60" w:type="dxa"/>
            <w:noWrap/>
            <w:hideMark/>
          </w:tcPr>
          <w:p w14:paraId="43D66108"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-0.0283</w:t>
            </w:r>
          </w:p>
        </w:tc>
        <w:tc>
          <w:tcPr>
            <w:tcW w:w="1620" w:type="dxa"/>
            <w:noWrap/>
            <w:hideMark/>
          </w:tcPr>
          <w:p w14:paraId="12553CDC"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-0.00324</w:t>
            </w:r>
          </w:p>
        </w:tc>
        <w:tc>
          <w:tcPr>
            <w:tcW w:w="1535" w:type="dxa"/>
            <w:noWrap/>
            <w:hideMark/>
          </w:tcPr>
          <w:p w14:paraId="6B0C8C4D"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-0.0282</w:t>
            </w:r>
          </w:p>
        </w:tc>
      </w:tr>
      <w:tr w:rsidR="00B7119C" w:rsidRPr="00B7119C" w14:paraId="1B04333E"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89C0187" w14:textId="48FDB490" w:rsidR="00B7119C" w:rsidRPr="00B7119C" w:rsidRDefault="00B7119C" w:rsidP="00B7119C">
            <w:pPr>
              <w:rPr>
                <w:rFonts w:ascii="Calibri" w:eastAsia="Times New Roman" w:hAnsi="Calibri" w:cs="Calibri"/>
                <w:color w:val="000000"/>
              </w:rPr>
            </w:pPr>
            <w:r>
              <w:rPr>
                <w:rFonts w:ascii="Calibri" w:eastAsia="Times New Roman" w:hAnsi="Calibri" w:cs="Calibri"/>
                <w:color w:val="000000"/>
              </w:rPr>
              <w:t xml:space="preserve">    </w:t>
            </w:r>
            <w:r w:rsidRPr="00B7119C">
              <w:rPr>
                <w:rFonts w:ascii="Calibri" w:eastAsia="Times New Roman" w:hAnsi="Calibri" w:cs="Calibri"/>
                <w:color w:val="000000"/>
              </w:rPr>
              <w:t>IFE</w:t>
            </w:r>
            <w:r>
              <w:rPr>
                <w:rFonts w:ascii="Calibri" w:eastAsia="Times New Roman" w:hAnsi="Calibri" w:cs="Calibri"/>
                <w:color w:val="000000"/>
              </w:rPr>
              <w:t>Ds</w:t>
            </w:r>
            <w:r w:rsidRPr="00B7119C">
              <w:rPr>
                <w:rFonts w:ascii="Calibri" w:eastAsia="Times New Roman" w:hAnsi="Calibri" w:cs="Calibri"/>
                <w:color w:val="000000"/>
              </w:rPr>
              <w:t xml:space="preserve"> in 3miles</w:t>
            </w:r>
          </w:p>
        </w:tc>
        <w:tc>
          <w:tcPr>
            <w:tcW w:w="1440" w:type="dxa"/>
            <w:noWrap/>
            <w:hideMark/>
          </w:tcPr>
          <w:p w14:paraId="73F3890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60DCF4CF"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0.0155</w:t>
            </w:r>
          </w:p>
        </w:tc>
        <w:tc>
          <w:tcPr>
            <w:tcW w:w="1260" w:type="dxa"/>
            <w:noWrap/>
            <w:hideMark/>
          </w:tcPr>
          <w:p w14:paraId="2DB56D87"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24378E6A"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025F3F1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7119C" w:rsidRPr="00B7119C" w14:paraId="1EF280E8"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B2E9BDC" w14:textId="6A5D3C97" w:rsidR="00B7119C" w:rsidRPr="00B7119C" w:rsidRDefault="00B7119C" w:rsidP="00B7119C">
            <w:pPr>
              <w:rPr>
                <w:rFonts w:ascii="Calibri" w:eastAsia="Times New Roman" w:hAnsi="Calibri" w:cs="Calibri"/>
                <w:color w:val="000000"/>
              </w:rPr>
            </w:pPr>
            <w:r>
              <w:rPr>
                <w:rFonts w:ascii="Calibri" w:eastAsia="Times New Roman" w:hAnsi="Calibri" w:cs="Calibri"/>
                <w:color w:val="000000"/>
              </w:rPr>
              <w:t xml:space="preserve">    </w:t>
            </w:r>
            <w:r w:rsidRPr="00B7119C">
              <w:rPr>
                <w:rFonts w:ascii="Calibri" w:eastAsia="Times New Roman" w:hAnsi="Calibri" w:cs="Calibri"/>
                <w:color w:val="000000"/>
              </w:rPr>
              <w:t>SE</w:t>
            </w:r>
            <w:r>
              <w:rPr>
                <w:rFonts w:ascii="Calibri" w:eastAsia="Times New Roman" w:hAnsi="Calibri" w:cs="Calibri"/>
                <w:color w:val="000000"/>
              </w:rPr>
              <w:t>Ds</w:t>
            </w:r>
            <w:r w:rsidRPr="00B7119C">
              <w:rPr>
                <w:rFonts w:ascii="Calibri" w:eastAsia="Times New Roman" w:hAnsi="Calibri" w:cs="Calibri"/>
                <w:color w:val="000000"/>
              </w:rPr>
              <w:t xml:space="preserve"> in 3miles</w:t>
            </w:r>
          </w:p>
        </w:tc>
        <w:tc>
          <w:tcPr>
            <w:tcW w:w="1440" w:type="dxa"/>
            <w:noWrap/>
            <w:hideMark/>
          </w:tcPr>
          <w:p w14:paraId="161DF23C"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15E29AD3"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-0.0569</w:t>
            </w:r>
          </w:p>
        </w:tc>
        <w:tc>
          <w:tcPr>
            <w:tcW w:w="1260" w:type="dxa"/>
            <w:noWrap/>
            <w:hideMark/>
          </w:tcPr>
          <w:p w14:paraId="1EC930C9"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27614B30"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5A8E44CE"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7119C" w:rsidRPr="00B7119C" w14:paraId="7D80375B"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848179A"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Avg. HH income/10k</w:t>
            </w:r>
          </w:p>
        </w:tc>
        <w:tc>
          <w:tcPr>
            <w:tcW w:w="1440" w:type="dxa"/>
            <w:noWrap/>
            <w:hideMark/>
          </w:tcPr>
          <w:p w14:paraId="60BE482F"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0.00467</w:t>
            </w:r>
          </w:p>
        </w:tc>
        <w:tc>
          <w:tcPr>
            <w:tcW w:w="1440" w:type="dxa"/>
            <w:noWrap/>
            <w:hideMark/>
          </w:tcPr>
          <w:p w14:paraId="7EE419B9"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0.00553</w:t>
            </w:r>
          </w:p>
        </w:tc>
        <w:tc>
          <w:tcPr>
            <w:tcW w:w="1260" w:type="dxa"/>
            <w:noWrap/>
            <w:hideMark/>
          </w:tcPr>
          <w:p w14:paraId="57AB45BA"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0.0123</w:t>
            </w:r>
          </w:p>
        </w:tc>
        <w:tc>
          <w:tcPr>
            <w:tcW w:w="1620" w:type="dxa"/>
            <w:noWrap/>
            <w:hideMark/>
          </w:tcPr>
          <w:p w14:paraId="609EC2D7"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-0.00314</w:t>
            </w:r>
          </w:p>
        </w:tc>
        <w:tc>
          <w:tcPr>
            <w:tcW w:w="1535" w:type="dxa"/>
            <w:noWrap/>
            <w:hideMark/>
          </w:tcPr>
          <w:p w14:paraId="45A59CE1"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-0.0541</w:t>
            </w:r>
          </w:p>
        </w:tc>
      </w:tr>
      <w:tr w:rsidR="00B7119C" w:rsidRPr="00B7119C" w14:paraId="4F4712D4"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AD8932C"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Pop Density/10k</w:t>
            </w:r>
          </w:p>
        </w:tc>
        <w:tc>
          <w:tcPr>
            <w:tcW w:w="1440" w:type="dxa"/>
            <w:noWrap/>
            <w:hideMark/>
          </w:tcPr>
          <w:p w14:paraId="2192D53B"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-0.689</w:t>
            </w:r>
          </w:p>
        </w:tc>
        <w:tc>
          <w:tcPr>
            <w:tcW w:w="1440" w:type="dxa"/>
            <w:noWrap/>
            <w:hideMark/>
          </w:tcPr>
          <w:p w14:paraId="190AEE89"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-0.559</w:t>
            </w:r>
          </w:p>
        </w:tc>
        <w:tc>
          <w:tcPr>
            <w:tcW w:w="1260" w:type="dxa"/>
            <w:noWrap/>
            <w:hideMark/>
          </w:tcPr>
          <w:p w14:paraId="28C718D6"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-1.05</w:t>
            </w:r>
          </w:p>
        </w:tc>
        <w:tc>
          <w:tcPr>
            <w:tcW w:w="1620" w:type="dxa"/>
            <w:noWrap/>
            <w:hideMark/>
          </w:tcPr>
          <w:p w14:paraId="79109D6F"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0.207</w:t>
            </w:r>
          </w:p>
        </w:tc>
        <w:tc>
          <w:tcPr>
            <w:tcW w:w="1535" w:type="dxa"/>
            <w:noWrap/>
            <w:hideMark/>
          </w:tcPr>
          <w:p w14:paraId="0D74A769"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1.757</w:t>
            </w:r>
          </w:p>
        </w:tc>
      </w:tr>
      <w:tr w:rsidR="00B7119C" w:rsidRPr="00B7119C" w14:paraId="3B4647BE"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4AA24E1"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 Hispanic</w:t>
            </w:r>
          </w:p>
        </w:tc>
        <w:tc>
          <w:tcPr>
            <w:tcW w:w="1440" w:type="dxa"/>
            <w:noWrap/>
            <w:hideMark/>
          </w:tcPr>
          <w:p w14:paraId="3E55D216"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-0.687*</w:t>
            </w:r>
          </w:p>
        </w:tc>
        <w:tc>
          <w:tcPr>
            <w:tcW w:w="1440" w:type="dxa"/>
            <w:noWrap/>
            <w:hideMark/>
          </w:tcPr>
          <w:p w14:paraId="7D6963B0"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-0.669*</w:t>
            </w:r>
          </w:p>
        </w:tc>
        <w:tc>
          <w:tcPr>
            <w:tcW w:w="1260" w:type="dxa"/>
            <w:noWrap/>
            <w:hideMark/>
          </w:tcPr>
          <w:p w14:paraId="1ABF04F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-0.0131</w:t>
            </w:r>
          </w:p>
        </w:tc>
        <w:tc>
          <w:tcPr>
            <w:tcW w:w="1620" w:type="dxa"/>
            <w:noWrap/>
            <w:hideMark/>
          </w:tcPr>
          <w:p w14:paraId="2D2E521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-0.174</w:t>
            </w:r>
          </w:p>
        </w:tc>
        <w:tc>
          <w:tcPr>
            <w:tcW w:w="1535" w:type="dxa"/>
            <w:noWrap/>
            <w:hideMark/>
          </w:tcPr>
          <w:p w14:paraId="65103ECE"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-0.0253</w:t>
            </w:r>
          </w:p>
        </w:tc>
      </w:tr>
      <w:tr w:rsidR="00B7119C" w:rsidRPr="00B7119C" w14:paraId="3E05E890"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23B14E0"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 Black</w:t>
            </w:r>
          </w:p>
        </w:tc>
        <w:tc>
          <w:tcPr>
            <w:tcW w:w="1440" w:type="dxa"/>
            <w:noWrap/>
            <w:hideMark/>
          </w:tcPr>
          <w:p w14:paraId="7F9C8879"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-0.554*</w:t>
            </w:r>
          </w:p>
        </w:tc>
        <w:tc>
          <w:tcPr>
            <w:tcW w:w="1440" w:type="dxa"/>
            <w:noWrap/>
            <w:hideMark/>
          </w:tcPr>
          <w:p w14:paraId="332C8584"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-0.501</w:t>
            </w:r>
          </w:p>
        </w:tc>
        <w:tc>
          <w:tcPr>
            <w:tcW w:w="1260" w:type="dxa"/>
            <w:noWrap/>
            <w:hideMark/>
          </w:tcPr>
          <w:p w14:paraId="6D3FC07E"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-1.13</w:t>
            </w:r>
          </w:p>
        </w:tc>
        <w:tc>
          <w:tcPr>
            <w:tcW w:w="1620" w:type="dxa"/>
            <w:noWrap/>
            <w:hideMark/>
          </w:tcPr>
          <w:p w14:paraId="41C89C22"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0.0238</w:t>
            </w:r>
          </w:p>
        </w:tc>
        <w:tc>
          <w:tcPr>
            <w:tcW w:w="1535" w:type="dxa"/>
            <w:noWrap/>
            <w:hideMark/>
          </w:tcPr>
          <w:p w14:paraId="481A8FA8"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-1.666</w:t>
            </w:r>
          </w:p>
        </w:tc>
      </w:tr>
      <w:tr w:rsidR="00B7119C" w:rsidRPr="00B7119C" w14:paraId="5F5823E2"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3B7AF90"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age_above65</w:t>
            </w:r>
          </w:p>
        </w:tc>
        <w:tc>
          <w:tcPr>
            <w:tcW w:w="1440" w:type="dxa"/>
            <w:noWrap/>
            <w:hideMark/>
          </w:tcPr>
          <w:p w14:paraId="38D6D339"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1.572*</w:t>
            </w:r>
          </w:p>
        </w:tc>
        <w:tc>
          <w:tcPr>
            <w:tcW w:w="1440" w:type="dxa"/>
            <w:noWrap/>
            <w:hideMark/>
          </w:tcPr>
          <w:p w14:paraId="2471F61E"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1.698*</w:t>
            </w:r>
          </w:p>
        </w:tc>
        <w:tc>
          <w:tcPr>
            <w:tcW w:w="1260" w:type="dxa"/>
            <w:noWrap/>
            <w:hideMark/>
          </w:tcPr>
          <w:p w14:paraId="33E47477"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-0.942</w:t>
            </w:r>
          </w:p>
        </w:tc>
        <w:tc>
          <w:tcPr>
            <w:tcW w:w="1620" w:type="dxa"/>
            <w:noWrap/>
            <w:hideMark/>
          </w:tcPr>
          <w:p w14:paraId="5E54B65F"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-0.416</w:t>
            </w:r>
          </w:p>
        </w:tc>
        <w:tc>
          <w:tcPr>
            <w:tcW w:w="1535" w:type="dxa"/>
            <w:noWrap/>
            <w:hideMark/>
          </w:tcPr>
          <w:p w14:paraId="72E53CBD"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-2.582</w:t>
            </w:r>
          </w:p>
        </w:tc>
      </w:tr>
      <w:tr w:rsidR="00B7119C" w:rsidRPr="00B7119C" w14:paraId="621B1917"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3656D71"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year = 2011</w:t>
            </w:r>
          </w:p>
        </w:tc>
        <w:tc>
          <w:tcPr>
            <w:tcW w:w="1440" w:type="dxa"/>
            <w:noWrap/>
            <w:hideMark/>
          </w:tcPr>
          <w:p w14:paraId="752467CE"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0.0427***</w:t>
            </w:r>
          </w:p>
        </w:tc>
        <w:tc>
          <w:tcPr>
            <w:tcW w:w="1440" w:type="dxa"/>
            <w:noWrap/>
            <w:hideMark/>
          </w:tcPr>
          <w:p w14:paraId="10AF4F49"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0.0416***</w:t>
            </w:r>
          </w:p>
        </w:tc>
        <w:tc>
          <w:tcPr>
            <w:tcW w:w="1260" w:type="dxa"/>
            <w:noWrap/>
            <w:hideMark/>
          </w:tcPr>
          <w:p w14:paraId="4FC0FAF8"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3968DB07"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06A77AB5"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7119C" w:rsidRPr="00B7119C" w14:paraId="57A63E0A"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49E6F0E"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year = 2012</w:t>
            </w:r>
          </w:p>
        </w:tc>
        <w:tc>
          <w:tcPr>
            <w:tcW w:w="1440" w:type="dxa"/>
            <w:noWrap/>
            <w:hideMark/>
          </w:tcPr>
          <w:p w14:paraId="0D1754EA"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0.0665***</w:t>
            </w:r>
          </w:p>
        </w:tc>
        <w:tc>
          <w:tcPr>
            <w:tcW w:w="1440" w:type="dxa"/>
            <w:noWrap/>
            <w:hideMark/>
          </w:tcPr>
          <w:p w14:paraId="53214CE7"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0.0665***</w:t>
            </w:r>
          </w:p>
        </w:tc>
        <w:tc>
          <w:tcPr>
            <w:tcW w:w="1260" w:type="dxa"/>
            <w:noWrap/>
            <w:hideMark/>
          </w:tcPr>
          <w:p w14:paraId="573C02B4"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noWrap/>
            <w:hideMark/>
          </w:tcPr>
          <w:p w14:paraId="34408B4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5" w:type="dxa"/>
            <w:noWrap/>
            <w:hideMark/>
          </w:tcPr>
          <w:p w14:paraId="2B2C257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7119C" w:rsidRPr="00B7119C" w14:paraId="2C6F01E2"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FA6F07C"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year = 2013</w:t>
            </w:r>
          </w:p>
        </w:tc>
        <w:tc>
          <w:tcPr>
            <w:tcW w:w="1440" w:type="dxa"/>
            <w:noWrap/>
            <w:hideMark/>
          </w:tcPr>
          <w:p w14:paraId="62647945"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0.0619***</w:t>
            </w:r>
          </w:p>
        </w:tc>
        <w:tc>
          <w:tcPr>
            <w:tcW w:w="1440" w:type="dxa"/>
            <w:noWrap/>
            <w:hideMark/>
          </w:tcPr>
          <w:p w14:paraId="438D3D0F"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0.0602***</w:t>
            </w:r>
          </w:p>
        </w:tc>
        <w:tc>
          <w:tcPr>
            <w:tcW w:w="1260" w:type="dxa"/>
            <w:noWrap/>
            <w:hideMark/>
          </w:tcPr>
          <w:p w14:paraId="01F48E34"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-0.0706**</w:t>
            </w:r>
          </w:p>
        </w:tc>
        <w:tc>
          <w:tcPr>
            <w:tcW w:w="1620" w:type="dxa"/>
            <w:noWrap/>
            <w:hideMark/>
          </w:tcPr>
          <w:p w14:paraId="1E000EC0"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-0.0136</w:t>
            </w:r>
          </w:p>
        </w:tc>
        <w:tc>
          <w:tcPr>
            <w:tcW w:w="1535" w:type="dxa"/>
            <w:noWrap/>
            <w:hideMark/>
          </w:tcPr>
          <w:p w14:paraId="03429587"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-0.186***</w:t>
            </w:r>
          </w:p>
        </w:tc>
      </w:tr>
      <w:tr w:rsidR="00B7119C" w:rsidRPr="00B7119C" w14:paraId="1FDEF45C"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9A80A87"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year = 2014</w:t>
            </w:r>
          </w:p>
        </w:tc>
        <w:tc>
          <w:tcPr>
            <w:tcW w:w="1440" w:type="dxa"/>
            <w:noWrap/>
            <w:hideMark/>
          </w:tcPr>
          <w:p w14:paraId="7EA8BC33"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0.0608***</w:t>
            </w:r>
          </w:p>
        </w:tc>
        <w:tc>
          <w:tcPr>
            <w:tcW w:w="1440" w:type="dxa"/>
            <w:noWrap/>
            <w:hideMark/>
          </w:tcPr>
          <w:p w14:paraId="2A48E49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0.0575**</w:t>
            </w:r>
          </w:p>
        </w:tc>
        <w:tc>
          <w:tcPr>
            <w:tcW w:w="1260" w:type="dxa"/>
            <w:noWrap/>
            <w:hideMark/>
          </w:tcPr>
          <w:p w14:paraId="4D201ACA"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-0.265***</w:t>
            </w:r>
          </w:p>
        </w:tc>
        <w:tc>
          <w:tcPr>
            <w:tcW w:w="1620" w:type="dxa"/>
            <w:noWrap/>
            <w:hideMark/>
          </w:tcPr>
          <w:p w14:paraId="63B0A6A6"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0.0218</w:t>
            </w:r>
          </w:p>
        </w:tc>
        <w:tc>
          <w:tcPr>
            <w:tcW w:w="1535" w:type="dxa"/>
            <w:noWrap/>
            <w:hideMark/>
          </w:tcPr>
          <w:p w14:paraId="0AF62465"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-0.154**</w:t>
            </w:r>
          </w:p>
        </w:tc>
      </w:tr>
      <w:tr w:rsidR="00B7119C" w:rsidRPr="00B7119C" w14:paraId="21277050"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75133B4"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year = 2015</w:t>
            </w:r>
          </w:p>
        </w:tc>
        <w:tc>
          <w:tcPr>
            <w:tcW w:w="1440" w:type="dxa"/>
            <w:noWrap/>
            <w:hideMark/>
          </w:tcPr>
          <w:p w14:paraId="113968C5"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0.0701***</w:t>
            </w:r>
          </w:p>
        </w:tc>
        <w:tc>
          <w:tcPr>
            <w:tcW w:w="1440" w:type="dxa"/>
            <w:noWrap/>
            <w:hideMark/>
          </w:tcPr>
          <w:p w14:paraId="62750204"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0.0644**</w:t>
            </w:r>
          </w:p>
        </w:tc>
        <w:tc>
          <w:tcPr>
            <w:tcW w:w="1260" w:type="dxa"/>
            <w:noWrap/>
            <w:hideMark/>
          </w:tcPr>
          <w:p w14:paraId="1A50857A"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-0.406***</w:t>
            </w:r>
          </w:p>
        </w:tc>
        <w:tc>
          <w:tcPr>
            <w:tcW w:w="1620" w:type="dxa"/>
            <w:noWrap/>
            <w:hideMark/>
          </w:tcPr>
          <w:p w14:paraId="1E1D65F9"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0.0162</w:t>
            </w:r>
          </w:p>
        </w:tc>
        <w:tc>
          <w:tcPr>
            <w:tcW w:w="1535" w:type="dxa"/>
            <w:noWrap/>
            <w:hideMark/>
          </w:tcPr>
          <w:p w14:paraId="68DDD453"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-0.218***</w:t>
            </w:r>
          </w:p>
        </w:tc>
      </w:tr>
      <w:tr w:rsidR="00B7119C" w:rsidRPr="00B7119C" w14:paraId="60CB9E08"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10C5FB8"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year = 2016</w:t>
            </w:r>
          </w:p>
        </w:tc>
        <w:tc>
          <w:tcPr>
            <w:tcW w:w="1440" w:type="dxa"/>
            <w:noWrap/>
            <w:hideMark/>
          </w:tcPr>
          <w:p w14:paraId="52C0C13A"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0.0401</w:t>
            </w:r>
          </w:p>
        </w:tc>
        <w:tc>
          <w:tcPr>
            <w:tcW w:w="1440" w:type="dxa"/>
            <w:noWrap/>
            <w:hideMark/>
          </w:tcPr>
          <w:p w14:paraId="47C1AE6E"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0.0376</w:t>
            </w:r>
          </w:p>
        </w:tc>
        <w:tc>
          <w:tcPr>
            <w:tcW w:w="1260" w:type="dxa"/>
            <w:noWrap/>
            <w:hideMark/>
          </w:tcPr>
          <w:p w14:paraId="22E522FE"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-0.508***</w:t>
            </w:r>
          </w:p>
        </w:tc>
        <w:tc>
          <w:tcPr>
            <w:tcW w:w="1620" w:type="dxa"/>
            <w:noWrap/>
            <w:hideMark/>
          </w:tcPr>
          <w:p w14:paraId="4B7C41CA"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-0.000381</w:t>
            </w:r>
          </w:p>
        </w:tc>
        <w:tc>
          <w:tcPr>
            <w:tcW w:w="1535" w:type="dxa"/>
            <w:noWrap/>
            <w:hideMark/>
          </w:tcPr>
          <w:p w14:paraId="78F4C237"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-0.311***</w:t>
            </w:r>
          </w:p>
        </w:tc>
      </w:tr>
      <w:tr w:rsidR="00B7119C" w:rsidRPr="00B7119C" w14:paraId="51CACE82"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E7A8207"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Constant</w:t>
            </w:r>
          </w:p>
        </w:tc>
        <w:tc>
          <w:tcPr>
            <w:tcW w:w="1440" w:type="dxa"/>
            <w:noWrap/>
            <w:hideMark/>
          </w:tcPr>
          <w:p w14:paraId="3CDB40AD"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10.96***</w:t>
            </w:r>
          </w:p>
        </w:tc>
        <w:tc>
          <w:tcPr>
            <w:tcW w:w="1440" w:type="dxa"/>
            <w:noWrap/>
            <w:hideMark/>
          </w:tcPr>
          <w:p w14:paraId="424D09AF"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10.92***</w:t>
            </w:r>
          </w:p>
        </w:tc>
        <w:tc>
          <w:tcPr>
            <w:tcW w:w="1260" w:type="dxa"/>
            <w:noWrap/>
            <w:hideMark/>
          </w:tcPr>
          <w:p w14:paraId="76093B24"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4.090***</w:t>
            </w:r>
          </w:p>
        </w:tc>
        <w:tc>
          <w:tcPr>
            <w:tcW w:w="1620" w:type="dxa"/>
            <w:noWrap/>
            <w:hideMark/>
          </w:tcPr>
          <w:p w14:paraId="5B2EDA33"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5.097***</w:t>
            </w:r>
          </w:p>
        </w:tc>
        <w:tc>
          <w:tcPr>
            <w:tcW w:w="1535" w:type="dxa"/>
            <w:noWrap/>
            <w:hideMark/>
          </w:tcPr>
          <w:p w14:paraId="2F75B5C3"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0.511</w:t>
            </w:r>
          </w:p>
        </w:tc>
      </w:tr>
      <w:tr w:rsidR="00B7119C" w:rsidRPr="00B7119C" w14:paraId="703B49C7"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C6134CE"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Obs.</w:t>
            </w:r>
          </w:p>
        </w:tc>
        <w:tc>
          <w:tcPr>
            <w:tcW w:w="1440" w:type="dxa"/>
            <w:noWrap/>
            <w:hideMark/>
          </w:tcPr>
          <w:p w14:paraId="6833AC08"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2,590</w:t>
            </w:r>
          </w:p>
        </w:tc>
        <w:tc>
          <w:tcPr>
            <w:tcW w:w="1440" w:type="dxa"/>
            <w:noWrap/>
            <w:hideMark/>
          </w:tcPr>
          <w:p w14:paraId="215BB003"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2,590</w:t>
            </w:r>
          </w:p>
        </w:tc>
        <w:tc>
          <w:tcPr>
            <w:tcW w:w="1260" w:type="dxa"/>
            <w:noWrap/>
            <w:hideMark/>
          </w:tcPr>
          <w:p w14:paraId="20ACA0FD"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1,380</w:t>
            </w:r>
          </w:p>
        </w:tc>
        <w:tc>
          <w:tcPr>
            <w:tcW w:w="1620" w:type="dxa"/>
            <w:noWrap/>
            <w:hideMark/>
          </w:tcPr>
          <w:p w14:paraId="19A8C4CE"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1,380</w:t>
            </w:r>
          </w:p>
        </w:tc>
        <w:tc>
          <w:tcPr>
            <w:tcW w:w="1535" w:type="dxa"/>
            <w:noWrap/>
            <w:hideMark/>
          </w:tcPr>
          <w:p w14:paraId="7A92E3D5" w14:textId="77777777" w:rsidR="00B7119C" w:rsidRP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1,350</w:t>
            </w:r>
          </w:p>
        </w:tc>
      </w:tr>
      <w:tr w:rsidR="00B7119C" w:rsidRPr="003E6791" w14:paraId="1D36F2D1"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5AB643EC" w14:textId="77777777" w:rsidR="00B7119C" w:rsidRPr="003E6791" w:rsidRDefault="00B7119C" w:rsidP="00B7119C">
            <w:pPr>
              <w:rPr>
                <w:rFonts w:ascii="Calibri" w:eastAsia="Times New Roman" w:hAnsi="Calibri" w:cs="Calibri"/>
                <w:color w:val="000000"/>
              </w:rPr>
            </w:pPr>
            <w:r>
              <w:rPr>
                <w:rFonts w:ascii="Calibri" w:eastAsia="Times New Roman" w:hAnsi="Calibri" w:cs="Calibri"/>
                <w:color w:val="000000"/>
              </w:rPr>
              <w:t>Hospitals</w:t>
            </w:r>
          </w:p>
        </w:tc>
        <w:tc>
          <w:tcPr>
            <w:tcW w:w="1440" w:type="dxa"/>
            <w:noWrap/>
          </w:tcPr>
          <w:p w14:paraId="1D58AD26" w14:textId="77777777" w:rsidR="00B7119C" w:rsidRPr="003E6791"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440" w:type="dxa"/>
          </w:tcPr>
          <w:p w14:paraId="6DF73A4F" w14:textId="77777777" w:rsidR="00B7119C" w:rsidRPr="000302AF"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370</w:t>
            </w:r>
          </w:p>
        </w:tc>
        <w:tc>
          <w:tcPr>
            <w:tcW w:w="1260" w:type="dxa"/>
            <w:noWrap/>
          </w:tcPr>
          <w:p w14:paraId="4084C8AF" w14:textId="77777777" w:rsidR="00B7119C" w:rsidRPr="003E6791"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620" w:type="dxa"/>
            <w:noWrap/>
          </w:tcPr>
          <w:p w14:paraId="4113AF46" w14:textId="77777777" w:rsidR="00B7119C" w:rsidRPr="003E6791"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535" w:type="dxa"/>
            <w:noWrap/>
          </w:tcPr>
          <w:p w14:paraId="2B37F822" w14:textId="77777777" w:rsidR="00B7119C" w:rsidRPr="003E6791"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270</w:t>
            </w:r>
          </w:p>
        </w:tc>
      </w:tr>
      <w:tr w:rsidR="00B7119C" w:rsidRPr="003E6791" w14:paraId="31FE796C" w14:textId="77777777" w:rsidTr="00B7119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60" w:type="dxa"/>
            <w:noWrap/>
          </w:tcPr>
          <w:p w14:paraId="600DF3D2" w14:textId="77777777" w:rsidR="00B7119C" w:rsidRDefault="00B7119C" w:rsidP="00B7119C">
            <w:pPr>
              <w:rPr>
                <w:rFonts w:ascii="Calibri" w:eastAsia="Times New Roman" w:hAnsi="Calibri" w:cs="Calibri"/>
                <w:color w:val="000000"/>
              </w:rPr>
            </w:pPr>
            <w:r>
              <w:rPr>
                <w:rFonts w:ascii="Calibri" w:eastAsia="Times New Roman" w:hAnsi="Calibri" w:cs="Calibri"/>
                <w:color w:val="000000"/>
              </w:rPr>
              <w:t>Hospital Fixed Eff.</w:t>
            </w:r>
          </w:p>
        </w:tc>
        <w:tc>
          <w:tcPr>
            <w:tcW w:w="1440" w:type="dxa"/>
            <w:noWrap/>
          </w:tcPr>
          <w:p w14:paraId="124FAC76" w14:textId="77777777" w:rsid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440" w:type="dxa"/>
          </w:tcPr>
          <w:p w14:paraId="1597F74C" w14:textId="77777777" w:rsid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260" w:type="dxa"/>
            <w:noWrap/>
          </w:tcPr>
          <w:p w14:paraId="01F6DC94" w14:textId="77777777" w:rsid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620" w:type="dxa"/>
            <w:noWrap/>
          </w:tcPr>
          <w:p w14:paraId="7678D58E" w14:textId="77777777" w:rsid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c>
          <w:tcPr>
            <w:tcW w:w="1535" w:type="dxa"/>
            <w:noWrap/>
          </w:tcPr>
          <w:p w14:paraId="14A5A6D8" w14:textId="77777777" w:rsidR="00B7119C" w:rsidRDefault="00B7119C" w:rsidP="00B711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Yes</w:t>
            </w:r>
          </w:p>
        </w:tc>
      </w:tr>
      <w:tr w:rsidR="00B7119C" w:rsidRPr="00B7119C" w14:paraId="3802F9B7" w14:textId="77777777" w:rsidTr="00B7119C">
        <w:trPr>
          <w:trHeight w:val="290"/>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D8A4A9C" w14:textId="77777777" w:rsidR="00B7119C" w:rsidRPr="00B7119C" w:rsidRDefault="00B7119C" w:rsidP="00B7119C">
            <w:pPr>
              <w:rPr>
                <w:rFonts w:ascii="Calibri" w:eastAsia="Times New Roman" w:hAnsi="Calibri" w:cs="Calibri"/>
                <w:color w:val="000000"/>
              </w:rPr>
            </w:pPr>
            <w:r w:rsidRPr="00B7119C">
              <w:rPr>
                <w:rFonts w:ascii="Calibri" w:eastAsia="Times New Roman" w:hAnsi="Calibri" w:cs="Calibri"/>
                <w:color w:val="000000"/>
              </w:rPr>
              <w:t>Weights</w:t>
            </w:r>
          </w:p>
        </w:tc>
        <w:tc>
          <w:tcPr>
            <w:tcW w:w="1440" w:type="dxa"/>
            <w:noWrap/>
            <w:hideMark/>
          </w:tcPr>
          <w:p w14:paraId="2D5D0B21"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NO</w:t>
            </w:r>
          </w:p>
        </w:tc>
        <w:tc>
          <w:tcPr>
            <w:tcW w:w="1440" w:type="dxa"/>
            <w:noWrap/>
            <w:hideMark/>
          </w:tcPr>
          <w:p w14:paraId="6580BD43"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NO</w:t>
            </w:r>
          </w:p>
        </w:tc>
        <w:tc>
          <w:tcPr>
            <w:tcW w:w="1260" w:type="dxa"/>
            <w:noWrap/>
            <w:hideMark/>
          </w:tcPr>
          <w:p w14:paraId="44DCEBFD"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ED Visits</w:t>
            </w:r>
          </w:p>
        </w:tc>
        <w:tc>
          <w:tcPr>
            <w:tcW w:w="1620" w:type="dxa"/>
            <w:noWrap/>
            <w:hideMark/>
          </w:tcPr>
          <w:p w14:paraId="6A561D34"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ED Visits</w:t>
            </w:r>
          </w:p>
        </w:tc>
        <w:tc>
          <w:tcPr>
            <w:tcW w:w="1535" w:type="dxa"/>
            <w:noWrap/>
            <w:hideMark/>
          </w:tcPr>
          <w:p w14:paraId="04AB3AFF" w14:textId="77777777" w:rsidR="00B7119C" w:rsidRPr="00B7119C" w:rsidRDefault="00B7119C" w:rsidP="00B711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19C">
              <w:rPr>
                <w:rFonts w:ascii="Calibri" w:eastAsia="Times New Roman" w:hAnsi="Calibri" w:cs="Calibri"/>
                <w:color w:val="000000"/>
              </w:rPr>
              <w:t>ED Visits</w:t>
            </w:r>
          </w:p>
        </w:tc>
      </w:tr>
    </w:tbl>
    <w:p w14:paraId="78D53D0B" w14:textId="26489DCD" w:rsidR="001C4E89" w:rsidRDefault="001C4E89" w:rsidP="001C4E89">
      <w:pPr>
        <w:spacing w:after="0" w:line="240" w:lineRule="auto"/>
        <w:jc w:val="both"/>
        <w:rPr>
          <w:rFonts w:cstheme="minorHAnsi"/>
          <w:color w:val="231F20"/>
          <w:sz w:val="18"/>
          <w:szCs w:val="18"/>
        </w:rPr>
      </w:pPr>
      <w:r w:rsidRPr="005D455F">
        <w:rPr>
          <w:rFonts w:cstheme="minorHAnsi"/>
          <w:b/>
          <w:color w:val="231F20"/>
          <w:sz w:val="18"/>
          <w:szCs w:val="18"/>
        </w:rPr>
        <w:lastRenderedPageBreak/>
        <w:t>Note:</w:t>
      </w:r>
      <w:r w:rsidRPr="005D455F">
        <w:rPr>
          <w:rFonts w:cstheme="minorHAnsi"/>
          <w:color w:val="231F20"/>
          <w:sz w:val="18"/>
          <w:szCs w:val="18"/>
        </w:rPr>
        <w:t xml:space="preserve"> SED, IFED, and HBED are short for satellite ED, independent freestanding ED, and Hospital-based ED. </w:t>
      </w:r>
    </w:p>
    <w:p w14:paraId="2793CF0D" w14:textId="77777777" w:rsidR="001C4E89" w:rsidRPr="005D455F" w:rsidRDefault="001C4E89" w:rsidP="001C4E89">
      <w:pPr>
        <w:spacing w:after="0" w:line="240" w:lineRule="auto"/>
        <w:jc w:val="both"/>
        <w:rPr>
          <w:rFonts w:cstheme="minorHAnsi"/>
          <w:color w:val="231F20"/>
          <w:sz w:val="18"/>
          <w:szCs w:val="18"/>
        </w:rPr>
      </w:pPr>
      <w:r w:rsidRPr="005D455F">
        <w:rPr>
          <w:rFonts w:cstheme="minorHAnsi"/>
          <w:color w:val="231F20"/>
          <w:sz w:val="18"/>
          <w:szCs w:val="18"/>
        </w:rPr>
        <w:t>*** p&lt;0.01, ** p&lt;0.05, * p&lt;0.1</w:t>
      </w:r>
    </w:p>
    <w:p w14:paraId="0346E0C9" w14:textId="77777777" w:rsidR="00C42E9A" w:rsidRDefault="00C42E9A" w:rsidP="00C42E9A">
      <w:pPr>
        <w:jc w:val="both"/>
        <w:rPr>
          <w:rFonts w:cstheme="minorHAnsi"/>
          <w:color w:val="231F20"/>
        </w:rPr>
      </w:pPr>
    </w:p>
    <w:p w14:paraId="5A8E1011" w14:textId="6ACF95C2" w:rsidR="008F1020" w:rsidRDefault="0068173E" w:rsidP="00C42E9A">
      <w:pPr>
        <w:jc w:val="both"/>
        <w:rPr>
          <w:rFonts w:cstheme="minorHAnsi"/>
          <w:color w:val="231F20"/>
        </w:rPr>
      </w:pPr>
      <w:r>
        <w:rPr>
          <w:rFonts w:cstheme="minorHAnsi"/>
          <w:color w:val="231F20"/>
        </w:rPr>
        <w:t>Appendix</w:t>
      </w:r>
      <w:r w:rsidR="00C42E9A">
        <w:rPr>
          <w:rFonts w:cstheme="minorHAnsi"/>
          <w:color w:val="231F20"/>
        </w:rPr>
        <w:t xml:space="preserve"> </w:t>
      </w:r>
      <w:r w:rsidR="00C42E9A" w:rsidRPr="00C42E9A">
        <w:rPr>
          <w:rFonts w:cstheme="minorHAnsi"/>
          <w:color w:val="231F20"/>
        </w:rPr>
        <w:t>Table 2</w:t>
      </w:r>
      <w:r w:rsidRPr="00C42E9A">
        <w:rPr>
          <w:rFonts w:cstheme="minorHAnsi"/>
          <w:color w:val="231F20"/>
        </w:rPr>
        <w:t xml:space="preserve">. </w:t>
      </w:r>
      <w:r w:rsidR="00C42E9A" w:rsidRPr="00C42E9A">
        <w:rPr>
          <w:rFonts w:cstheme="minorHAnsi"/>
          <w:color w:val="231F20"/>
        </w:rPr>
        <w:t>Estimates of the changes in hospital-based emergency departments, associated with nearby competitors and various factors in the same Public Use Microdata Area in Texas</w:t>
      </w:r>
      <w:r w:rsidR="00C42E9A">
        <w:rPr>
          <w:rFonts w:cstheme="minorHAnsi"/>
          <w:color w:val="231F20"/>
        </w:rPr>
        <w:t xml:space="preserve"> (without weights)</w:t>
      </w:r>
    </w:p>
    <w:tbl>
      <w:tblPr>
        <w:tblStyle w:val="ListTable6Colorful-Accent3"/>
        <w:tblW w:w="7375" w:type="dxa"/>
        <w:tblLayout w:type="fixed"/>
        <w:tblLook w:val="04A0" w:firstRow="1" w:lastRow="0" w:firstColumn="1" w:lastColumn="0" w:noHBand="0" w:noVBand="1"/>
      </w:tblPr>
      <w:tblGrid>
        <w:gridCol w:w="2245"/>
        <w:gridCol w:w="1710"/>
        <w:gridCol w:w="1710"/>
        <w:gridCol w:w="1710"/>
      </w:tblGrid>
      <w:tr w:rsidR="00227F3B" w:rsidRPr="00A857C3" w14:paraId="084655EF" w14:textId="77777777" w:rsidTr="00B65C1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2D82953" w14:textId="77777777" w:rsidR="00227F3B" w:rsidRPr="00A857C3" w:rsidRDefault="00227F3B" w:rsidP="00A857C3">
            <w:pPr>
              <w:rPr>
                <w:rFonts w:ascii="Times New Roman" w:eastAsia="Times New Roman" w:hAnsi="Times New Roman" w:cs="Times New Roman"/>
                <w:sz w:val="24"/>
                <w:szCs w:val="24"/>
              </w:rPr>
            </w:pPr>
          </w:p>
        </w:tc>
        <w:tc>
          <w:tcPr>
            <w:tcW w:w="1710" w:type="dxa"/>
            <w:noWrap/>
            <w:hideMark/>
          </w:tcPr>
          <w:p w14:paraId="13D06115" w14:textId="77777777" w:rsidR="00227F3B" w:rsidRPr="00A857C3" w:rsidRDefault="00227F3B" w:rsidP="00B65C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Wait Time</w:t>
            </w:r>
          </w:p>
        </w:tc>
        <w:tc>
          <w:tcPr>
            <w:tcW w:w="1710" w:type="dxa"/>
            <w:noWrap/>
            <w:hideMark/>
          </w:tcPr>
          <w:p w14:paraId="3C291009" w14:textId="77777777" w:rsidR="00227F3B" w:rsidRPr="00A857C3" w:rsidRDefault="00227F3B" w:rsidP="00B65C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Discharge Time</w:t>
            </w:r>
          </w:p>
        </w:tc>
        <w:tc>
          <w:tcPr>
            <w:tcW w:w="1710" w:type="dxa"/>
            <w:noWrap/>
            <w:hideMark/>
          </w:tcPr>
          <w:p w14:paraId="0E5905F6" w14:textId="77777777" w:rsidR="00227F3B" w:rsidRPr="00A857C3" w:rsidRDefault="00227F3B" w:rsidP="00B65C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Drop-out Rate</w:t>
            </w:r>
          </w:p>
        </w:tc>
      </w:tr>
      <w:tr w:rsidR="00227F3B" w:rsidRPr="00A857C3" w14:paraId="252E5539"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D5B61B5" w14:textId="36ADCA38"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own SE</w:t>
            </w:r>
            <w:r w:rsidR="001C4E89">
              <w:rPr>
                <w:rFonts w:ascii="Calibri" w:eastAsia="Times New Roman" w:hAnsi="Calibri" w:cs="Calibri"/>
                <w:color w:val="000000"/>
              </w:rPr>
              <w:t>D</w:t>
            </w:r>
            <w:r w:rsidRPr="00A857C3">
              <w:rPr>
                <w:rFonts w:ascii="Calibri" w:eastAsia="Times New Roman" w:hAnsi="Calibri" w:cs="Calibri"/>
                <w:color w:val="000000"/>
              </w:rPr>
              <w:t xml:space="preserve"> (dummy)</w:t>
            </w:r>
          </w:p>
        </w:tc>
        <w:tc>
          <w:tcPr>
            <w:tcW w:w="1710" w:type="dxa"/>
            <w:noWrap/>
            <w:hideMark/>
          </w:tcPr>
          <w:p w14:paraId="7C42545E"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-0.0845</w:t>
            </w:r>
          </w:p>
        </w:tc>
        <w:tc>
          <w:tcPr>
            <w:tcW w:w="1710" w:type="dxa"/>
            <w:noWrap/>
            <w:hideMark/>
          </w:tcPr>
          <w:p w14:paraId="17AB9BDA"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-0.0323</w:t>
            </w:r>
          </w:p>
        </w:tc>
        <w:tc>
          <w:tcPr>
            <w:tcW w:w="1710" w:type="dxa"/>
            <w:noWrap/>
            <w:hideMark/>
          </w:tcPr>
          <w:p w14:paraId="2D86BDDB"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-0.0827</w:t>
            </w:r>
          </w:p>
        </w:tc>
      </w:tr>
      <w:tr w:rsidR="00227F3B" w:rsidRPr="00A857C3" w14:paraId="78C15220"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D883D4D" w14:textId="47438A6C"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 xml:space="preserve">FSEDs in </w:t>
            </w:r>
            <w:r w:rsidR="00A518BD">
              <w:rPr>
                <w:rFonts w:ascii="Calibri" w:eastAsia="Times New Roman" w:hAnsi="Calibri" w:cs="Calibri"/>
                <w:color w:val="000000"/>
              </w:rPr>
              <w:t xml:space="preserve">the </w:t>
            </w:r>
            <w:r w:rsidRPr="00A857C3">
              <w:rPr>
                <w:rFonts w:ascii="Calibri" w:eastAsia="Times New Roman" w:hAnsi="Calibri" w:cs="Calibri"/>
                <w:color w:val="000000"/>
              </w:rPr>
              <w:t>puma</w:t>
            </w:r>
          </w:p>
        </w:tc>
        <w:tc>
          <w:tcPr>
            <w:tcW w:w="1710" w:type="dxa"/>
            <w:noWrap/>
            <w:hideMark/>
          </w:tcPr>
          <w:p w14:paraId="37C5811B"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-0.0144</w:t>
            </w:r>
          </w:p>
        </w:tc>
        <w:tc>
          <w:tcPr>
            <w:tcW w:w="1710" w:type="dxa"/>
            <w:noWrap/>
            <w:hideMark/>
          </w:tcPr>
          <w:p w14:paraId="2EF6BF47"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-0.0022</w:t>
            </w:r>
          </w:p>
        </w:tc>
        <w:tc>
          <w:tcPr>
            <w:tcW w:w="1710" w:type="dxa"/>
            <w:noWrap/>
            <w:hideMark/>
          </w:tcPr>
          <w:p w14:paraId="4B14D1CC"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-0.0121</w:t>
            </w:r>
          </w:p>
        </w:tc>
      </w:tr>
      <w:tr w:rsidR="00227F3B" w:rsidRPr="00A857C3" w14:paraId="62C9B95F"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617DE46"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Avg. HH income/10k</w:t>
            </w:r>
          </w:p>
        </w:tc>
        <w:tc>
          <w:tcPr>
            <w:tcW w:w="1710" w:type="dxa"/>
            <w:noWrap/>
            <w:hideMark/>
          </w:tcPr>
          <w:p w14:paraId="4DCB9800"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-0.0453</w:t>
            </w:r>
          </w:p>
        </w:tc>
        <w:tc>
          <w:tcPr>
            <w:tcW w:w="1710" w:type="dxa"/>
            <w:noWrap/>
            <w:hideMark/>
          </w:tcPr>
          <w:p w14:paraId="16931789"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0.00858</w:t>
            </w:r>
          </w:p>
        </w:tc>
        <w:tc>
          <w:tcPr>
            <w:tcW w:w="1710" w:type="dxa"/>
            <w:noWrap/>
            <w:hideMark/>
          </w:tcPr>
          <w:p w14:paraId="23FAACF3"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-0.0513</w:t>
            </w:r>
          </w:p>
        </w:tc>
      </w:tr>
      <w:tr w:rsidR="00227F3B" w:rsidRPr="00A857C3" w14:paraId="0D3FFCD3"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FD95C35"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Pop Density/10k</w:t>
            </w:r>
          </w:p>
        </w:tc>
        <w:tc>
          <w:tcPr>
            <w:tcW w:w="1710" w:type="dxa"/>
            <w:noWrap/>
            <w:hideMark/>
          </w:tcPr>
          <w:p w14:paraId="018D61DB"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-2.059**</w:t>
            </w:r>
          </w:p>
        </w:tc>
        <w:tc>
          <w:tcPr>
            <w:tcW w:w="1710" w:type="dxa"/>
            <w:noWrap/>
            <w:hideMark/>
          </w:tcPr>
          <w:p w14:paraId="27EFC8A1"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-0.0584</w:t>
            </w:r>
          </w:p>
        </w:tc>
        <w:tc>
          <w:tcPr>
            <w:tcW w:w="1710" w:type="dxa"/>
            <w:noWrap/>
            <w:hideMark/>
          </w:tcPr>
          <w:p w14:paraId="34F09990"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2.828**</w:t>
            </w:r>
          </w:p>
        </w:tc>
      </w:tr>
      <w:tr w:rsidR="00227F3B" w:rsidRPr="00A857C3" w14:paraId="06EE27A9"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AD2DBC4"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 Hispanic</w:t>
            </w:r>
          </w:p>
        </w:tc>
        <w:tc>
          <w:tcPr>
            <w:tcW w:w="1710" w:type="dxa"/>
            <w:noWrap/>
            <w:hideMark/>
          </w:tcPr>
          <w:p w14:paraId="2328CBAA"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-0.311</w:t>
            </w:r>
          </w:p>
        </w:tc>
        <w:tc>
          <w:tcPr>
            <w:tcW w:w="1710" w:type="dxa"/>
            <w:noWrap/>
            <w:hideMark/>
          </w:tcPr>
          <w:p w14:paraId="6F1A0D59"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-0.0146</w:t>
            </w:r>
          </w:p>
        </w:tc>
        <w:tc>
          <w:tcPr>
            <w:tcW w:w="1710" w:type="dxa"/>
            <w:noWrap/>
            <w:hideMark/>
          </w:tcPr>
          <w:p w14:paraId="557F124E"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-0.244</w:t>
            </w:r>
          </w:p>
        </w:tc>
      </w:tr>
      <w:tr w:rsidR="00227F3B" w:rsidRPr="00A857C3" w14:paraId="750A7FAC"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9743264"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 Black</w:t>
            </w:r>
          </w:p>
        </w:tc>
        <w:tc>
          <w:tcPr>
            <w:tcW w:w="1710" w:type="dxa"/>
            <w:noWrap/>
            <w:hideMark/>
          </w:tcPr>
          <w:p w14:paraId="224E7E53"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-1.513*</w:t>
            </w:r>
          </w:p>
        </w:tc>
        <w:tc>
          <w:tcPr>
            <w:tcW w:w="1710" w:type="dxa"/>
            <w:noWrap/>
            <w:hideMark/>
          </w:tcPr>
          <w:p w14:paraId="3850EC1A"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-0.0103</w:t>
            </w:r>
          </w:p>
        </w:tc>
        <w:tc>
          <w:tcPr>
            <w:tcW w:w="1710" w:type="dxa"/>
            <w:noWrap/>
            <w:hideMark/>
          </w:tcPr>
          <w:p w14:paraId="137E72E5"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-1.056</w:t>
            </w:r>
          </w:p>
        </w:tc>
      </w:tr>
      <w:tr w:rsidR="00227F3B" w:rsidRPr="00A857C3" w14:paraId="2A0508C7"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ED0EA70"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age_above65</w:t>
            </w:r>
          </w:p>
        </w:tc>
        <w:tc>
          <w:tcPr>
            <w:tcW w:w="1710" w:type="dxa"/>
            <w:noWrap/>
            <w:hideMark/>
          </w:tcPr>
          <w:p w14:paraId="6224D7F4"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-1.519</w:t>
            </w:r>
          </w:p>
        </w:tc>
        <w:tc>
          <w:tcPr>
            <w:tcW w:w="1710" w:type="dxa"/>
            <w:noWrap/>
            <w:hideMark/>
          </w:tcPr>
          <w:p w14:paraId="3A7DA15B"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-0.46</w:t>
            </w:r>
          </w:p>
        </w:tc>
        <w:tc>
          <w:tcPr>
            <w:tcW w:w="1710" w:type="dxa"/>
            <w:noWrap/>
            <w:hideMark/>
          </w:tcPr>
          <w:p w14:paraId="00A3E140"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-1.379</w:t>
            </w:r>
          </w:p>
        </w:tc>
      </w:tr>
      <w:tr w:rsidR="00227F3B" w:rsidRPr="00A857C3" w14:paraId="28BACE13"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13B1656"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year = 2013</w:t>
            </w:r>
          </w:p>
        </w:tc>
        <w:tc>
          <w:tcPr>
            <w:tcW w:w="1710" w:type="dxa"/>
            <w:noWrap/>
            <w:hideMark/>
          </w:tcPr>
          <w:p w14:paraId="757AEA71"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-0.0351</w:t>
            </w:r>
          </w:p>
        </w:tc>
        <w:tc>
          <w:tcPr>
            <w:tcW w:w="1710" w:type="dxa"/>
            <w:noWrap/>
            <w:hideMark/>
          </w:tcPr>
          <w:p w14:paraId="0780F514"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-0.00387</w:t>
            </w:r>
          </w:p>
        </w:tc>
        <w:tc>
          <w:tcPr>
            <w:tcW w:w="1710" w:type="dxa"/>
            <w:noWrap/>
            <w:hideMark/>
          </w:tcPr>
          <w:p w14:paraId="7946B5D6"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-0.206***</w:t>
            </w:r>
          </w:p>
        </w:tc>
      </w:tr>
      <w:tr w:rsidR="00227F3B" w:rsidRPr="00A857C3" w14:paraId="7A8AC190"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1808825"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year = 2014</w:t>
            </w:r>
          </w:p>
        </w:tc>
        <w:tc>
          <w:tcPr>
            <w:tcW w:w="1710" w:type="dxa"/>
            <w:noWrap/>
            <w:hideMark/>
          </w:tcPr>
          <w:p w14:paraId="6ABBD5B0"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-0.145***</w:t>
            </w:r>
          </w:p>
        </w:tc>
        <w:tc>
          <w:tcPr>
            <w:tcW w:w="1710" w:type="dxa"/>
            <w:noWrap/>
            <w:hideMark/>
          </w:tcPr>
          <w:p w14:paraId="4301A8DD"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0.0329**</w:t>
            </w:r>
          </w:p>
        </w:tc>
        <w:tc>
          <w:tcPr>
            <w:tcW w:w="1710" w:type="dxa"/>
            <w:noWrap/>
            <w:hideMark/>
          </w:tcPr>
          <w:p w14:paraId="31B7FDA7"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-0.145**</w:t>
            </w:r>
          </w:p>
        </w:tc>
      </w:tr>
      <w:tr w:rsidR="00227F3B" w:rsidRPr="00A857C3" w14:paraId="284AA31D"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8309F9C"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year = 2015</w:t>
            </w:r>
          </w:p>
        </w:tc>
        <w:tc>
          <w:tcPr>
            <w:tcW w:w="1710" w:type="dxa"/>
            <w:noWrap/>
            <w:hideMark/>
          </w:tcPr>
          <w:p w14:paraId="655CF2B7"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-0.188***</w:t>
            </w:r>
          </w:p>
        </w:tc>
        <w:tc>
          <w:tcPr>
            <w:tcW w:w="1710" w:type="dxa"/>
            <w:noWrap/>
            <w:hideMark/>
          </w:tcPr>
          <w:p w14:paraId="39D84659"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0.0289*</w:t>
            </w:r>
          </w:p>
        </w:tc>
        <w:tc>
          <w:tcPr>
            <w:tcW w:w="1710" w:type="dxa"/>
            <w:noWrap/>
            <w:hideMark/>
          </w:tcPr>
          <w:p w14:paraId="390FA571"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-0.213***</w:t>
            </w:r>
          </w:p>
        </w:tc>
      </w:tr>
      <w:tr w:rsidR="00227F3B" w:rsidRPr="00A857C3" w14:paraId="7917DA60"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26058D0"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year = 2016</w:t>
            </w:r>
          </w:p>
        </w:tc>
        <w:tc>
          <w:tcPr>
            <w:tcW w:w="1710" w:type="dxa"/>
            <w:noWrap/>
            <w:hideMark/>
          </w:tcPr>
          <w:p w14:paraId="45A10DAA"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-0.256***</w:t>
            </w:r>
          </w:p>
        </w:tc>
        <w:tc>
          <w:tcPr>
            <w:tcW w:w="1710" w:type="dxa"/>
            <w:noWrap/>
            <w:hideMark/>
          </w:tcPr>
          <w:p w14:paraId="4E960999"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0.0302</w:t>
            </w:r>
          </w:p>
        </w:tc>
        <w:tc>
          <w:tcPr>
            <w:tcW w:w="1710" w:type="dxa"/>
            <w:noWrap/>
            <w:hideMark/>
          </w:tcPr>
          <w:p w14:paraId="6CFB206D"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-0.274***</w:t>
            </w:r>
          </w:p>
        </w:tc>
      </w:tr>
      <w:tr w:rsidR="00227F3B" w:rsidRPr="00A857C3" w14:paraId="5C59232B"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3217A8E"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Constant</w:t>
            </w:r>
          </w:p>
        </w:tc>
        <w:tc>
          <w:tcPr>
            <w:tcW w:w="1710" w:type="dxa"/>
            <w:noWrap/>
            <w:hideMark/>
          </w:tcPr>
          <w:p w14:paraId="70884719"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4.989***</w:t>
            </w:r>
          </w:p>
        </w:tc>
        <w:tc>
          <w:tcPr>
            <w:tcW w:w="1710" w:type="dxa"/>
            <w:noWrap/>
            <w:hideMark/>
          </w:tcPr>
          <w:p w14:paraId="371C8F9B"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5.003***</w:t>
            </w:r>
          </w:p>
        </w:tc>
        <w:tc>
          <w:tcPr>
            <w:tcW w:w="1710" w:type="dxa"/>
            <w:noWrap/>
            <w:hideMark/>
          </w:tcPr>
          <w:p w14:paraId="5DBDFB28" w14:textId="77777777"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0.228</w:t>
            </w:r>
          </w:p>
        </w:tc>
      </w:tr>
      <w:tr w:rsidR="00227F3B" w:rsidRPr="00A857C3" w14:paraId="16793FA1"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2A70934"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Obs.</w:t>
            </w:r>
          </w:p>
        </w:tc>
        <w:tc>
          <w:tcPr>
            <w:tcW w:w="1710" w:type="dxa"/>
            <w:noWrap/>
            <w:hideMark/>
          </w:tcPr>
          <w:p w14:paraId="7572AA27"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1,380</w:t>
            </w:r>
          </w:p>
        </w:tc>
        <w:tc>
          <w:tcPr>
            <w:tcW w:w="1710" w:type="dxa"/>
            <w:noWrap/>
            <w:hideMark/>
          </w:tcPr>
          <w:p w14:paraId="4AF6823F"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1,380</w:t>
            </w:r>
          </w:p>
        </w:tc>
        <w:tc>
          <w:tcPr>
            <w:tcW w:w="1710" w:type="dxa"/>
            <w:noWrap/>
            <w:hideMark/>
          </w:tcPr>
          <w:p w14:paraId="6DEF7570"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1,350</w:t>
            </w:r>
          </w:p>
        </w:tc>
      </w:tr>
      <w:tr w:rsidR="00227F3B" w:rsidRPr="00A857C3" w14:paraId="62AF989A" w14:textId="77777777" w:rsidTr="00B65C18">
        <w:trPr>
          <w:trHeight w:val="290"/>
        </w:trPr>
        <w:tc>
          <w:tcPr>
            <w:cnfStyle w:val="001000000000" w:firstRow="0" w:lastRow="0" w:firstColumn="1" w:lastColumn="0" w:oddVBand="0" w:evenVBand="0" w:oddHBand="0" w:evenHBand="0" w:firstRowFirstColumn="0" w:firstRowLastColumn="0" w:lastRowFirstColumn="0" w:lastRowLastColumn="0"/>
            <w:tcW w:w="2245" w:type="dxa"/>
            <w:noWrap/>
          </w:tcPr>
          <w:p w14:paraId="106E619C" w14:textId="4B1CCC54" w:rsidR="00227F3B" w:rsidRPr="00A857C3" w:rsidRDefault="00227F3B" w:rsidP="00A857C3">
            <w:pPr>
              <w:rPr>
                <w:rFonts w:ascii="Calibri" w:eastAsia="Times New Roman" w:hAnsi="Calibri" w:cs="Calibri"/>
                <w:color w:val="000000"/>
              </w:rPr>
            </w:pPr>
            <w:r>
              <w:rPr>
                <w:rFonts w:ascii="Calibri" w:eastAsia="Times New Roman" w:hAnsi="Calibri" w:cs="Calibri"/>
                <w:color w:val="000000"/>
              </w:rPr>
              <w:t>Hospitals</w:t>
            </w:r>
          </w:p>
        </w:tc>
        <w:tc>
          <w:tcPr>
            <w:tcW w:w="1710" w:type="dxa"/>
            <w:noWrap/>
          </w:tcPr>
          <w:p w14:paraId="75A359D6" w14:textId="1483EBD0"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710" w:type="dxa"/>
            <w:noWrap/>
          </w:tcPr>
          <w:p w14:paraId="16BA617A" w14:textId="6D96761C"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276</w:t>
            </w:r>
          </w:p>
        </w:tc>
        <w:tc>
          <w:tcPr>
            <w:tcW w:w="1710" w:type="dxa"/>
            <w:noWrap/>
          </w:tcPr>
          <w:p w14:paraId="073A4D2E" w14:textId="67A0F6FE" w:rsidR="00227F3B" w:rsidRPr="00A857C3" w:rsidRDefault="00227F3B" w:rsidP="00B65C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270</w:t>
            </w:r>
          </w:p>
        </w:tc>
      </w:tr>
      <w:tr w:rsidR="00227F3B" w:rsidRPr="00A857C3" w14:paraId="60768EF3" w14:textId="77777777" w:rsidTr="00B65C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48AB35E" w14:textId="77777777" w:rsidR="00227F3B" w:rsidRPr="00A857C3" w:rsidRDefault="00227F3B" w:rsidP="00A857C3">
            <w:pPr>
              <w:rPr>
                <w:rFonts w:ascii="Calibri" w:eastAsia="Times New Roman" w:hAnsi="Calibri" w:cs="Calibri"/>
                <w:color w:val="000000"/>
              </w:rPr>
            </w:pPr>
            <w:r w:rsidRPr="00A857C3">
              <w:rPr>
                <w:rFonts w:ascii="Calibri" w:eastAsia="Times New Roman" w:hAnsi="Calibri" w:cs="Calibri"/>
                <w:color w:val="000000"/>
              </w:rPr>
              <w:t>Weights</w:t>
            </w:r>
          </w:p>
        </w:tc>
        <w:tc>
          <w:tcPr>
            <w:tcW w:w="1710" w:type="dxa"/>
            <w:noWrap/>
            <w:hideMark/>
          </w:tcPr>
          <w:p w14:paraId="4F19BCB1"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NO</w:t>
            </w:r>
          </w:p>
        </w:tc>
        <w:tc>
          <w:tcPr>
            <w:tcW w:w="1710" w:type="dxa"/>
            <w:noWrap/>
            <w:hideMark/>
          </w:tcPr>
          <w:p w14:paraId="2968ADA4"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NO</w:t>
            </w:r>
          </w:p>
        </w:tc>
        <w:tc>
          <w:tcPr>
            <w:tcW w:w="1710" w:type="dxa"/>
            <w:noWrap/>
            <w:hideMark/>
          </w:tcPr>
          <w:p w14:paraId="2FDA302A" w14:textId="77777777" w:rsidR="00227F3B" w:rsidRPr="00A857C3" w:rsidRDefault="00227F3B" w:rsidP="00B65C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857C3">
              <w:rPr>
                <w:rFonts w:ascii="Calibri" w:eastAsia="Times New Roman" w:hAnsi="Calibri" w:cs="Calibri"/>
                <w:color w:val="000000"/>
              </w:rPr>
              <w:t>NO</w:t>
            </w:r>
          </w:p>
        </w:tc>
      </w:tr>
    </w:tbl>
    <w:p w14:paraId="4ADA8CC6" w14:textId="1A0AD9A5" w:rsidR="001C4E89" w:rsidRDefault="001C4E89" w:rsidP="001C4E89">
      <w:pPr>
        <w:spacing w:after="0" w:line="240" w:lineRule="auto"/>
        <w:jc w:val="both"/>
        <w:rPr>
          <w:rFonts w:cstheme="minorHAnsi"/>
          <w:color w:val="231F20"/>
          <w:sz w:val="18"/>
          <w:szCs w:val="18"/>
        </w:rPr>
      </w:pPr>
      <w:r w:rsidRPr="005D455F">
        <w:rPr>
          <w:rFonts w:cstheme="minorHAnsi"/>
          <w:b/>
          <w:color w:val="231F20"/>
          <w:sz w:val="18"/>
          <w:szCs w:val="18"/>
        </w:rPr>
        <w:t>Note:</w:t>
      </w:r>
      <w:r w:rsidRPr="005D455F">
        <w:rPr>
          <w:rFonts w:cstheme="minorHAnsi"/>
          <w:color w:val="231F20"/>
          <w:sz w:val="18"/>
          <w:szCs w:val="18"/>
        </w:rPr>
        <w:t xml:space="preserve"> SED</w:t>
      </w:r>
      <w:r>
        <w:rPr>
          <w:rFonts w:cstheme="minorHAnsi"/>
          <w:color w:val="231F20"/>
          <w:sz w:val="18"/>
          <w:szCs w:val="18"/>
        </w:rPr>
        <w:t xml:space="preserve"> </w:t>
      </w:r>
      <w:r w:rsidRPr="005D455F">
        <w:rPr>
          <w:rFonts w:cstheme="minorHAnsi"/>
          <w:color w:val="231F20"/>
          <w:sz w:val="18"/>
          <w:szCs w:val="18"/>
        </w:rPr>
        <w:t>and HBED are short for satellite ED</w:t>
      </w:r>
      <w:r>
        <w:rPr>
          <w:rFonts w:cstheme="minorHAnsi"/>
          <w:color w:val="231F20"/>
          <w:sz w:val="18"/>
          <w:szCs w:val="18"/>
        </w:rPr>
        <w:t xml:space="preserve"> </w:t>
      </w:r>
      <w:r w:rsidRPr="005D455F">
        <w:rPr>
          <w:rFonts w:cstheme="minorHAnsi"/>
          <w:color w:val="231F20"/>
          <w:sz w:val="18"/>
          <w:szCs w:val="18"/>
        </w:rPr>
        <w:t xml:space="preserve">and Hospital-based ED. </w:t>
      </w:r>
    </w:p>
    <w:p w14:paraId="3D5776D3" w14:textId="77777777" w:rsidR="001C4E89" w:rsidRPr="005D455F" w:rsidRDefault="001C4E89" w:rsidP="001C4E89">
      <w:pPr>
        <w:spacing w:after="0" w:line="240" w:lineRule="auto"/>
        <w:jc w:val="both"/>
        <w:rPr>
          <w:rFonts w:cstheme="minorHAnsi"/>
          <w:color w:val="231F20"/>
          <w:sz w:val="18"/>
          <w:szCs w:val="18"/>
        </w:rPr>
      </w:pPr>
      <w:r w:rsidRPr="005D455F">
        <w:rPr>
          <w:rFonts w:cstheme="minorHAnsi"/>
          <w:color w:val="231F20"/>
          <w:sz w:val="18"/>
          <w:szCs w:val="18"/>
        </w:rPr>
        <w:t>*** p&lt;0.01, ** p&lt;0.05, * p&lt;0.1</w:t>
      </w:r>
    </w:p>
    <w:p w14:paraId="38B136AD" w14:textId="77777777" w:rsidR="00A857C3" w:rsidRPr="00C42E9A" w:rsidRDefault="00A857C3" w:rsidP="00C42E9A">
      <w:pPr>
        <w:jc w:val="both"/>
        <w:rPr>
          <w:rFonts w:cstheme="minorHAnsi"/>
          <w:color w:val="231F20"/>
        </w:rPr>
      </w:pPr>
    </w:p>
    <w:sectPr w:rsidR="00A857C3" w:rsidRPr="00C42E9A" w:rsidSect="002A5CA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C5AF3" w14:textId="77777777" w:rsidR="005377D0" w:rsidRDefault="005377D0" w:rsidP="00F24E97">
      <w:pPr>
        <w:spacing w:after="0" w:line="240" w:lineRule="auto"/>
      </w:pPr>
      <w:r>
        <w:separator/>
      </w:r>
    </w:p>
  </w:endnote>
  <w:endnote w:type="continuationSeparator" w:id="0">
    <w:p w14:paraId="18AB7062" w14:textId="77777777" w:rsidR="005377D0" w:rsidRDefault="005377D0" w:rsidP="00F2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133DE" w14:textId="77777777" w:rsidR="005377D0" w:rsidRDefault="005377D0" w:rsidP="00F24E97">
      <w:pPr>
        <w:spacing w:after="0" w:line="240" w:lineRule="auto"/>
      </w:pPr>
      <w:r>
        <w:separator/>
      </w:r>
    </w:p>
  </w:footnote>
  <w:footnote w:type="continuationSeparator" w:id="0">
    <w:p w14:paraId="64BCD51A" w14:textId="77777777" w:rsidR="005377D0" w:rsidRDefault="005377D0" w:rsidP="00F24E97">
      <w:pPr>
        <w:spacing w:after="0" w:line="240" w:lineRule="auto"/>
      </w:pPr>
      <w:r>
        <w:continuationSeparator/>
      </w:r>
    </w:p>
  </w:footnote>
  <w:footnote w:id="1">
    <w:p w14:paraId="2B3275BC" w14:textId="14EC898C" w:rsidR="00B7119C" w:rsidRPr="0079362D" w:rsidRDefault="00B7119C" w:rsidP="00DB4CE5">
      <w:pPr>
        <w:pStyle w:val="FootnoteText"/>
      </w:pPr>
      <w:r>
        <w:rPr>
          <w:rStyle w:val="FootnoteReference"/>
        </w:rPr>
        <w:footnoteRef/>
      </w:r>
      <w:r>
        <w:t xml:space="preserve"> Available at: </w:t>
      </w:r>
      <w:r w:rsidRPr="00821D07">
        <w:t>https://www.cdc.gov/nchs/fastats/emergency-department.htm</w:t>
      </w:r>
      <w:r>
        <w:t xml:space="preserve"> </w:t>
      </w:r>
    </w:p>
  </w:footnote>
  <w:footnote w:id="2">
    <w:p w14:paraId="319ED85E" w14:textId="26B74916" w:rsidR="00B7119C" w:rsidRDefault="00B7119C">
      <w:pPr>
        <w:pStyle w:val="FootnoteText"/>
      </w:pPr>
      <w:r>
        <w:rPr>
          <w:rStyle w:val="FootnoteReference"/>
        </w:rPr>
        <w:footnoteRef/>
      </w:r>
      <w:r>
        <w:t xml:space="preserve"> </w:t>
      </w:r>
      <w:r>
        <w:rPr>
          <w:rFonts w:hint="eastAsia"/>
        </w:rPr>
        <w:t>D</w:t>
      </w:r>
      <w:r>
        <w:t xml:space="preserve">ata from the </w:t>
      </w:r>
      <w:r w:rsidRPr="00C843E8">
        <w:rPr>
          <w:rFonts w:cstheme="minorHAnsi"/>
          <w:color w:val="231F20"/>
        </w:rPr>
        <w:t>American Hospital Association’s Annual Survey</w:t>
      </w:r>
    </w:p>
  </w:footnote>
  <w:footnote w:id="3">
    <w:p w14:paraId="0AB59BF6" w14:textId="6C94F7AF" w:rsidR="00B7119C" w:rsidRDefault="00B7119C">
      <w:pPr>
        <w:pStyle w:val="FootnoteText"/>
      </w:pPr>
      <w:r>
        <w:rPr>
          <w:rStyle w:val="FootnoteReference"/>
        </w:rPr>
        <w:footnoteRef/>
      </w:r>
      <w:r>
        <w:t xml:space="preserve"> Texas Freestanding Emergency Medical Care Facilities Available at: </w:t>
      </w:r>
      <w:r w:rsidRPr="00821D07">
        <w:t>https://www.dshs.texas.gov/facilities/freestanding-emergency-rooms/</w:t>
      </w:r>
      <w:r>
        <w:t xml:space="preserve"> </w:t>
      </w:r>
    </w:p>
  </w:footnote>
  <w:footnote w:id="4">
    <w:p w14:paraId="7068D1FC" w14:textId="69152179" w:rsidR="00B7119C" w:rsidRDefault="00B7119C">
      <w:pPr>
        <w:pStyle w:val="FootnoteText"/>
      </w:pPr>
      <w:r>
        <w:rPr>
          <w:rStyle w:val="FootnoteReference"/>
        </w:rPr>
        <w:footnoteRef/>
      </w:r>
      <w:r>
        <w:t xml:space="preserve"> Ashwood (2016)</w:t>
      </w:r>
    </w:p>
  </w:footnote>
  <w:footnote w:id="5">
    <w:p w14:paraId="724E463E" w14:textId="3C447165" w:rsidR="00B7119C" w:rsidRPr="00E804A6" w:rsidRDefault="00B7119C" w:rsidP="00514C32">
      <w:pPr>
        <w:pStyle w:val="FootnoteText"/>
      </w:pPr>
      <w:r>
        <w:rPr>
          <w:rStyle w:val="FootnoteReference"/>
        </w:rPr>
        <w:footnoteRef/>
      </w:r>
      <w:r>
        <w:t xml:space="preserve"> Dark (2017)</w:t>
      </w:r>
    </w:p>
  </w:footnote>
  <w:footnote w:id="6">
    <w:p w14:paraId="2132281E" w14:textId="739528A0" w:rsidR="00B7119C" w:rsidRDefault="00B7119C">
      <w:pPr>
        <w:pStyle w:val="FootnoteText"/>
      </w:pPr>
      <w:r>
        <w:rPr>
          <w:rStyle w:val="FootnoteReference"/>
        </w:rPr>
        <w:footnoteRef/>
      </w:r>
      <w:r>
        <w:t xml:space="preserve"> Schuur</w:t>
      </w:r>
    </w:p>
  </w:footnote>
  <w:footnote w:id="7">
    <w:p w14:paraId="6979034E" w14:textId="4B15022B" w:rsidR="00B7119C" w:rsidRDefault="00B7119C">
      <w:pPr>
        <w:pStyle w:val="FootnoteText"/>
      </w:pPr>
      <w:r>
        <w:rPr>
          <w:rStyle w:val="FootnoteReference"/>
        </w:rPr>
        <w:footnoteRef/>
      </w:r>
      <w:r>
        <w:t xml:space="preserve"> </w:t>
      </w:r>
      <w:r>
        <w:rPr>
          <w:rFonts w:hint="eastAsia"/>
        </w:rPr>
        <w:t>H</w:t>
      </w:r>
      <w:r>
        <w:t>o (2017)</w:t>
      </w:r>
    </w:p>
  </w:footnote>
  <w:footnote w:id="8">
    <w:p w14:paraId="7E552BD9" w14:textId="25BF45E4" w:rsidR="00B7119C" w:rsidRPr="00A55D61" w:rsidRDefault="00B7119C">
      <w:pPr>
        <w:pStyle w:val="FootnoteText"/>
      </w:pPr>
      <w:r>
        <w:rPr>
          <w:rStyle w:val="FootnoteReference"/>
        </w:rPr>
        <w:footnoteRef/>
      </w:r>
      <w:r>
        <w:t xml:space="preserve"> Pines (2018)</w:t>
      </w:r>
    </w:p>
  </w:footnote>
  <w:footnote w:id="9">
    <w:p w14:paraId="22E0F8FD" w14:textId="77777777" w:rsidR="00B7119C" w:rsidRPr="001307C7" w:rsidRDefault="00B7119C" w:rsidP="009B3F52">
      <w:pPr>
        <w:pStyle w:val="FootnoteText"/>
      </w:pPr>
      <w:r>
        <w:rPr>
          <w:rStyle w:val="FootnoteReference"/>
        </w:rPr>
        <w:footnoteRef/>
      </w:r>
      <w:r>
        <w:t xml:space="preserve"> Report to The Congress: Medicare and the Health Care Delivery System</w:t>
      </w:r>
    </w:p>
  </w:footnote>
  <w:footnote w:id="10">
    <w:p w14:paraId="473C222D" w14:textId="2F6CC52D" w:rsidR="00B7119C" w:rsidRPr="00581574" w:rsidRDefault="00B7119C">
      <w:pPr>
        <w:pStyle w:val="FootnoteText"/>
      </w:pPr>
      <w:r>
        <w:rPr>
          <w:rStyle w:val="FootnoteReference"/>
        </w:rPr>
        <w:footnoteRef/>
      </w:r>
      <w:r>
        <w:t xml:space="preserve"> News</w:t>
      </w:r>
    </w:p>
  </w:footnote>
  <w:footnote w:id="11">
    <w:p w14:paraId="04A448A6" w14:textId="33D8A188" w:rsidR="00B7119C" w:rsidRPr="00594D30" w:rsidRDefault="00B7119C">
      <w:pPr>
        <w:pStyle w:val="FootnoteText"/>
      </w:pPr>
      <w:r>
        <w:rPr>
          <w:rStyle w:val="FootnoteReference"/>
        </w:rPr>
        <w:footnoteRef/>
      </w:r>
      <w:r>
        <w:t xml:space="preserve"> </w:t>
      </w:r>
    </w:p>
  </w:footnote>
  <w:footnote w:id="12">
    <w:p w14:paraId="1433A1C8" w14:textId="77777777" w:rsidR="00B7119C" w:rsidRPr="007A2FA5" w:rsidRDefault="00B7119C" w:rsidP="00E620F6">
      <w:pPr>
        <w:pStyle w:val="FootnoteText"/>
      </w:pPr>
      <w:r>
        <w:rPr>
          <w:rStyle w:val="FootnoteReference"/>
        </w:rPr>
        <w:footnoteRef/>
      </w:r>
      <w:r>
        <w:t xml:space="preserve"> An introduction to power and sample size estimation (Jones, et al. 2003)</w:t>
      </w:r>
    </w:p>
  </w:footnote>
  <w:footnote w:id="13">
    <w:p w14:paraId="7A6A4BEB" w14:textId="3212B675" w:rsidR="00B7119C" w:rsidRPr="009A6864" w:rsidRDefault="00B7119C">
      <w:pPr>
        <w:pStyle w:val="FootnoteText"/>
      </w:pPr>
      <w:r>
        <w:rPr>
          <w:rStyle w:val="FootnoteReference"/>
        </w:rPr>
        <w:footnoteRef/>
      </w:r>
      <w:r>
        <w:t xml:space="preserve"> Muller (1992)</w:t>
      </w:r>
    </w:p>
  </w:footnote>
  <w:footnote w:id="14">
    <w:p w14:paraId="392FAC6C" w14:textId="77777777" w:rsidR="00B7119C" w:rsidRPr="003D6520" w:rsidRDefault="00B7119C" w:rsidP="002062CD">
      <w:pPr>
        <w:pStyle w:val="FootnoteText"/>
      </w:pPr>
      <w:r>
        <w:rPr>
          <w:rStyle w:val="FootnoteReference"/>
        </w:rPr>
        <w:footnoteRef/>
      </w:r>
      <w:r>
        <w:t xml:space="preserve"> </w:t>
      </w:r>
      <w:hyperlink r:id="rId1" w:history="1">
        <w:r w:rsidRPr="0005008A">
          <w:rPr>
            <w:rStyle w:val="Hyperlink"/>
          </w:rPr>
          <w:t>https://www.texashealth.org/news/texas-health-resources-and-adeptus-health-join-forces-to-enhance-access-to-emergency-care-in-north-texas</w:t>
        </w:r>
      </w:hyperlink>
      <w:r>
        <w:t xml:space="preserve"> </w:t>
      </w:r>
    </w:p>
  </w:footnote>
  <w:footnote w:id="15">
    <w:p w14:paraId="3ECE4C22" w14:textId="77777777" w:rsidR="00B7119C" w:rsidRPr="001307C7" w:rsidRDefault="00B7119C" w:rsidP="00A12C4F">
      <w:pPr>
        <w:pStyle w:val="FootnoteText"/>
      </w:pPr>
      <w:r>
        <w:rPr>
          <w:rStyle w:val="FootnoteReference"/>
        </w:rPr>
        <w:footnoteRef/>
      </w:r>
      <w:r>
        <w:t xml:space="preserve"> Report to The Congress: Medicare and the Health Care Delivery System</w:t>
      </w:r>
    </w:p>
  </w:footnote>
  <w:footnote w:id="16">
    <w:p w14:paraId="503E45AF" w14:textId="77777777" w:rsidR="00B7119C" w:rsidRPr="009601CD" w:rsidRDefault="00B7119C" w:rsidP="00333E91">
      <w:pPr>
        <w:pStyle w:val="FootnoteText"/>
      </w:pPr>
      <w:r>
        <w:rPr>
          <w:rStyle w:val="FootnoteReference"/>
        </w:rPr>
        <w:footnoteRef/>
      </w:r>
      <w:r>
        <w:t xml:space="preserve"> </w:t>
      </w:r>
      <w:r w:rsidRPr="009601CD">
        <w:t>2016 Report to the Congress – Medicare and the Health Care Delivery System</w:t>
      </w:r>
    </w:p>
  </w:footnote>
  <w:footnote w:id="17">
    <w:p w14:paraId="0BE6C270" w14:textId="29EB049B" w:rsidR="00B7119C" w:rsidRPr="0046751B" w:rsidRDefault="00B7119C">
      <w:pPr>
        <w:pStyle w:val="FootnoteText"/>
      </w:pPr>
      <w:r>
        <w:rPr>
          <w:rStyle w:val="FootnoteReference"/>
        </w:rPr>
        <w:footnoteRef/>
      </w:r>
      <w:r>
        <w:t xml:space="preserve"> </w:t>
      </w:r>
      <w:r>
        <w:rPr>
          <w:rFonts w:cstheme="minorHAnsi"/>
          <w:color w:val="231F20"/>
        </w:rPr>
        <w:t xml:space="preserve">Rice 2016, </w:t>
      </w:r>
      <w:proofErr w:type="spellStart"/>
      <w:r>
        <w:rPr>
          <w:rFonts w:cstheme="minorHAnsi"/>
          <w:color w:val="231F20"/>
        </w:rPr>
        <w:t>Sutherly</w:t>
      </w:r>
      <w:proofErr w:type="spellEnd"/>
      <w:r>
        <w:rPr>
          <w:rFonts w:cstheme="minorHAnsi"/>
          <w:color w:val="231F20"/>
        </w:rPr>
        <w:t xml:space="preserve"> 2016</w:t>
      </w:r>
    </w:p>
  </w:footnote>
  <w:footnote w:id="18">
    <w:p w14:paraId="7287AEE4" w14:textId="333A2511" w:rsidR="00B7119C" w:rsidRDefault="00B7119C">
      <w:pPr>
        <w:pStyle w:val="FootnoteText"/>
      </w:pPr>
      <w:r>
        <w:rPr>
          <w:rStyle w:val="FootnoteReference"/>
        </w:rPr>
        <w:footnoteRef/>
      </w:r>
      <w:r>
        <w:t xml:space="preserve"> commercially insured patients were most profitable and Medicaid patients were least profitable.</w:t>
      </w:r>
      <w:r w:rsidRPr="00B0376C">
        <w:t xml:space="preserve"> </w:t>
      </w:r>
      <w:r>
        <w:t>publicly insured ED outpatients with higher acuity (billing level) are less profitable than similar, commercially insured patients.</w:t>
      </w:r>
    </w:p>
  </w:footnote>
  <w:footnote w:id="19">
    <w:p w14:paraId="594B92CD" w14:textId="61AC07E9" w:rsidR="00B7119C" w:rsidRPr="009E1774" w:rsidRDefault="00B7119C">
      <w:pPr>
        <w:pStyle w:val="FootnoteText"/>
      </w:pPr>
      <w:r>
        <w:rPr>
          <w:rStyle w:val="FootnoteReference"/>
        </w:rPr>
        <w:footnoteRef/>
      </w:r>
      <w:r>
        <w:t xml:space="preserve"> The opening of </w:t>
      </w:r>
      <w:proofErr w:type="gramStart"/>
      <w:r>
        <w:t>an</w:t>
      </w:r>
      <w:proofErr w:type="gramEnd"/>
      <w:r>
        <w:t xml:space="preserve"> FED was associated with a modest improvement in time-specific EMS system metrics: a decrease in ambulance turnaround time and shorter out-of-service intervals.</w:t>
      </w:r>
    </w:p>
  </w:footnote>
  <w:footnote w:id="20">
    <w:p w14:paraId="459A7D0A" w14:textId="06268465" w:rsidR="00B7119C" w:rsidRPr="000F1D58" w:rsidRDefault="00B7119C">
      <w:pPr>
        <w:pStyle w:val="FootnoteText"/>
      </w:pPr>
      <w:r>
        <w:rPr>
          <w:rStyle w:val="FootnoteReference"/>
        </w:rPr>
        <w:footnoteRef/>
      </w:r>
      <w:r>
        <w:t xml:space="preserve"> </w:t>
      </w:r>
    </w:p>
  </w:footnote>
  <w:footnote w:id="21">
    <w:p w14:paraId="1009577B" w14:textId="3D6D4B57" w:rsidR="00B7119C" w:rsidRDefault="00B7119C">
      <w:pPr>
        <w:pStyle w:val="FootnoteText"/>
      </w:pPr>
      <w:r>
        <w:rPr>
          <w:rStyle w:val="FootnoteReference"/>
        </w:rPr>
        <w:footnoteRef/>
      </w:r>
      <w:r>
        <w:t xml:space="preserve"> Anthem Blue Cross Blue Shield, the nation’s largest health insurer, is expanding its policy of not paying for </w:t>
      </w:r>
      <w:r w:rsidRPr="00412756">
        <w:t>emergency room (ER) care</w:t>
      </w:r>
      <w:r>
        <w:t xml:space="preserve"> that it decides was not an emergency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2C6"/>
    <w:multiLevelType w:val="hybridMultilevel"/>
    <w:tmpl w:val="D5F82E10"/>
    <w:lvl w:ilvl="0" w:tplc="EBE20338">
      <w:numFmt w:val="bullet"/>
      <w:lvlText w:val="-"/>
      <w:lvlJc w:val="left"/>
      <w:pPr>
        <w:ind w:left="460" w:hanging="360"/>
      </w:pPr>
      <w:rPr>
        <w:rFonts w:ascii="Calibri" w:eastAsia="Times New Roman"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20522BC5"/>
    <w:multiLevelType w:val="hybridMultilevel"/>
    <w:tmpl w:val="BD2267B0"/>
    <w:lvl w:ilvl="0" w:tplc="C26E99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31D8"/>
    <w:multiLevelType w:val="hybridMultilevel"/>
    <w:tmpl w:val="E65C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95826"/>
    <w:multiLevelType w:val="hybridMultilevel"/>
    <w:tmpl w:val="DA3C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890"/>
    <w:multiLevelType w:val="hybridMultilevel"/>
    <w:tmpl w:val="C51AE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67290"/>
    <w:multiLevelType w:val="hybridMultilevel"/>
    <w:tmpl w:val="0A96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C77D6"/>
    <w:multiLevelType w:val="hybridMultilevel"/>
    <w:tmpl w:val="483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02BD6"/>
    <w:multiLevelType w:val="hybridMultilevel"/>
    <w:tmpl w:val="E0F6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28B6"/>
    <w:multiLevelType w:val="hybridMultilevel"/>
    <w:tmpl w:val="322E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23BDF"/>
    <w:multiLevelType w:val="hybridMultilevel"/>
    <w:tmpl w:val="3976F720"/>
    <w:lvl w:ilvl="0" w:tplc="78548B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07177"/>
    <w:multiLevelType w:val="hybridMultilevel"/>
    <w:tmpl w:val="B0D0C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F0335"/>
    <w:multiLevelType w:val="hybridMultilevel"/>
    <w:tmpl w:val="A9DA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C323C"/>
    <w:multiLevelType w:val="hybridMultilevel"/>
    <w:tmpl w:val="58B8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90FD0"/>
    <w:multiLevelType w:val="hybridMultilevel"/>
    <w:tmpl w:val="FCDA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565F7"/>
    <w:multiLevelType w:val="hybridMultilevel"/>
    <w:tmpl w:val="ED2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2504E"/>
    <w:multiLevelType w:val="hybridMultilevel"/>
    <w:tmpl w:val="9A1A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90E2D"/>
    <w:multiLevelType w:val="hybridMultilevel"/>
    <w:tmpl w:val="31E81612"/>
    <w:lvl w:ilvl="0" w:tplc="1CB0FF30">
      <w:start w:val="1"/>
      <w:numFmt w:val="bullet"/>
      <w:lvlText w:val="•"/>
      <w:lvlJc w:val="left"/>
      <w:pPr>
        <w:tabs>
          <w:tab w:val="num" w:pos="360"/>
        </w:tabs>
        <w:ind w:left="360" w:hanging="360"/>
      </w:pPr>
      <w:rPr>
        <w:rFonts w:ascii="Arial" w:hAnsi="Arial" w:hint="default"/>
      </w:rPr>
    </w:lvl>
    <w:lvl w:ilvl="1" w:tplc="81923C9E" w:tentative="1">
      <w:start w:val="1"/>
      <w:numFmt w:val="bullet"/>
      <w:lvlText w:val="•"/>
      <w:lvlJc w:val="left"/>
      <w:pPr>
        <w:tabs>
          <w:tab w:val="num" w:pos="1080"/>
        </w:tabs>
        <w:ind w:left="1080" w:hanging="360"/>
      </w:pPr>
      <w:rPr>
        <w:rFonts w:ascii="Arial" w:hAnsi="Arial" w:hint="default"/>
      </w:rPr>
    </w:lvl>
    <w:lvl w:ilvl="2" w:tplc="0CF2F8B2" w:tentative="1">
      <w:start w:val="1"/>
      <w:numFmt w:val="bullet"/>
      <w:lvlText w:val="•"/>
      <w:lvlJc w:val="left"/>
      <w:pPr>
        <w:tabs>
          <w:tab w:val="num" w:pos="1800"/>
        </w:tabs>
        <w:ind w:left="1800" w:hanging="360"/>
      </w:pPr>
      <w:rPr>
        <w:rFonts w:ascii="Arial" w:hAnsi="Arial" w:hint="default"/>
      </w:rPr>
    </w:lvl>
    <w:lvl w:ilvl="3" w:tplc="86F88278" w:tentative="1">
      <w:start w:val="1"/>
      <w:numFmt w:val="bullet"/>
      <w:lvlText w:val="•"/>
      <w:lvlJc w:val="left"/>
      <w:pPr>
        <w:tabs>
          <w:tab w:val="num" w:pos="2520"/>
        </w:tabs>
        <w:ind w:left="2520" w:hanging="360"/>
      </w:pPr>
      <w:rPr>
        <w:rFonts w:ascii="Arial" w:hAnsi="Arial" w:hint="default"/>
      </w:rPr>
    </w:lvl>
    <w:lvl w:ilvl="4" w:tplc="9E5817A6" w:tentative="1">
      <w:start w:val="1"/>
      <w:numFmt w:val="bullet"/>
      <w:lvlText w:val="•"/>
      <w:lvlJc w:val="left"/>
      <w:pPr>
        <w:tabs>
          <w:tab w:val="num" w:pos="3240"/>
        </w:tabs>
        <w:ind w:left="3240" w:hanging="360"/>
      </w:pPr>
      <w:rPr>
        <w:rFonts w:ascii="Arial" w:hAnsi="Arial" w:hint="default"/>
      </w:rPr>
    </w:lvl>
    <w:lvl w:ilvl="5" w:tplc="90DCC144" w:tentative="1">
      <w:start w:val="1"/>
      <w:numFmt w:val="bullet"/>
      <w:lvlText w:val="•"/>
      <w:lvlJc w:val="left"/>
      <w:pPr>
        <w:tabs>
          <w:tab w:val="num" w:pos="3960"/>
        </w:tabs>
        <w:ind w:left="3960" w:hanging="360"/>
      </w:pPr>
      <w:rPr>
        <w:rFonts w:ascii="Arial" w:hAnsi="Arial" w:hint="default"/>
      </w:rPr>
    </w:lvl>
    <w:lvl w:ilvl="6" w:tplc="D9923C10" w:tentative="1">
      <w:start w:val="1"/>
      <w:numFmt w:val="bullet"/>
      <w:lvlText w:val="•"/>
      <w:lvlJc w:val="left"/>
      <w:pPr>
        <w:tabs>
          <w:tab w:val="num" w:pos="4680"/>
        </w:tabs>
        <w:ind w:left="4680" w:hanging="360"/>
      </w:pPr>
      <w:rPr>
        <w:rFonts w:ascii="Arial" w:hAnsi="Arial" w:hint="default"/>
      </w:rPr>
    </w:lvl>
    <w:lvl w:ilvl="7" w:tplc="8B769466" w:tentative="1">
      <w:start w:val="1"/>
      <w:numFmt w:val="bullet"/>
      <w:lvlText w:val="•"/>
      <w:lvlJc w:val="left"/>
      <w:pPr>
        <w:tabs>
          <w:tab w:val="num" w:pos="5400"/>
        </w:tabs>
        <w:ind w:left="5400" w:hanging="360"/>
      </w:pPr>
      <w:rPr>
        <w:rFonts w:ascii="Arial" w:hAnsi="Arial" w:hint="default"/>
      </w:rPr>
    </w:lvl>
    <w:lvl w:ilvl="8" w:tplc="B5D092F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61DC7D2A"/>
    <w:multiLevelType w:val="hybridMultilevel"/>
    <w:tmpl w:val="059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72232"/>
    <w:multiLevelType w:val="hybridMultilevel"/>
    <w:tmpl w:val="3FD057E2"/>
    <w:lvl w:ilvl="0" w:tplc="EDF45C9C">
      <w:start w:val="1"/>
      <w:numFmt w:val="bullet"/>
      <w:lvlText w:val="•"/>
      <w:lvlJc w:val="left"/>
      <w:pPr>
        <w:tabs>
          <w:tab w:val="num" w:pos="720"/>
        </w:tabs>
        <w:ind w:left="720" w:hanging="360"/>
      </w:pPr>
      <w:rPr>
        <w:rFonts w:ascii="Arial" w:hAnsi="Arial" w:hint="default"/>
      </w:rPr>
    </w:lvl>
    <w:lvl w:ilvl="1" w:tplc="57E20E62" w:tentative="1">
      <w:start w:val="1"/>
      <w:numFmt w:val="bullet"/>
      <w:lvlText w:val="•"/>
      <w:lvlJc w:val="left"/>
      <w:pPr>
        <w:tabs>
          <w:tab w:val="num" w:pos="1440"/>
        </w:tabs>
        <w:ind w:left="1440" w:hanging="360"/>
      </w:pPr>
      <w:rPr>
        <w:rFonts w:ascii="Arial" w:hAnsi="Arial" w:hint="default"/>
      </w:rPr>
    </w:lvl>
    <w:lvl w:ilvl="2" w:tplc="206E80E8" w:tentative="1">
      <w:start w:val="1"/>
      <w:numFmt w:val="bullet"/>
      <w:lvlText w:val="•"/>
      <w:lvlJc w:val="left"/>
      <w:pPr>
        <w:tabs>
          <w:tab w:val="num" w:pos="2160"/>
        </w:tabs>
        <w:ind w:left="2160" w:hanging="360"/>
      </w:pPr>
      <w:rPr>
        <w:rFonts w:ascii="Arial" w:hAnsi="Arial" w:hint="default"/>
      </w:rPr>
    </w:lvl>
    <w:lvl w:ilvl="3" w:tplc="E62A8212" w:tentative="1">
      <w:start w:val="1"/>
      <w:numFmt w:val="bullet"/>
      <w:lvlText w:val="•"/>
      <w:lvlJc w:val="left"/>
      <w:pPr>
        <w:tabs>
          <w:tab w:val="num" w:pos="2880"/>
        </w:tabs>
        <w:ind w:left="2880" w:hanging="360"/>
      </w:pPr>
      <w:rPr>
        <w:rFonts w:ascii="Arial" w:hAnsi="Arial" w:hint="default"/>
      </w:rPr>
    </w:lvl>
    <w:lvl w:ilvl="4" w:tplc="586A4958" w:tentative="1">
      <w:start w:val="1"/>
      <w:numFmt w:val="bullet"/>
      <w:lvlText w:val="•"/>
      <w:lvlJc w:val="left"/>
      <w:pPr>
        <w:tabs>
          <w:tab w:val="num" w:pos="3600"/>
        </w:tabs>
        <w:ind w:left="3600" w:hanging="360"/>
      </w:pPr>
      <w:rPr>
        <w:rFonts w:ascii="Arial" w:hAnsi="Arial" w:hint="default"/>
      </w:rPr>
    </w:lvl>
    <w:lvl w:ilvl="5" w:tplc="02EA2944" w:tentative="1">
      <w:start w:val="1"/>
      <w:numFmt w:val="bullet"/>
      <w:lvlText w:val="•"/>
      <w:lvlJc w:val="left"/>
      <w:pPr>
        <w:tabs>
          <w:tab w:val="num" w:pos="4320"/>
        </w:tabs>
        <w:ind w:left="4320" w:hanging="360"/>
      </w:pPr>
      <w:rPr>
        <w:rFonts w:ascii="Arial" w:hAnsi="Arial" w:hint="default"/>
      </w:rPr>
    </w:lvl>
    <w:lvl w:ilvl="6" w:tplc="832CBB7E" w:tentative="1">
      <w:start w:val="1"/>
      <w:numFmt w:val="bullet"/>
      <w:lvlText w:val="•"/>
      <w:lvlJc w:val="left"/>
      <w:pPr>
        <w:tabs>
          <w:tab w:val="num" w:pos="5040"/>
        </w:tabs>
        <w:ind w:left="5040" w:hanging="360"/>
      </w:pPr>
      <w:rPr>
        <w:rFonts w:ascii="Arial" w:hAnsi="Arial" w:hint="default"/>
      </w:rPr>
    </w:lvl>
    <w:lvl w:ilvl="7" w:tplc="5A20E710" w:tentative="1">
      <w:start w:val="1"/>
      <w:numFmt w:val="bullet"/>
      <w:lvlText w:val="•"/>
      <w:lvlJc w:val="left"/>
      <w:pPr>
        <w:tabs>
          <w:tab w:val="num" w:pos="5760"/>
        </w:tabs>
        <w:ind w:left="5760" w:hanging="360"/>
      </w:pPr>
      <w:rPr>
        <w:rFonts w:ascii="Arial" w:hAnsi="Arial" w:hint="default"/>
      </w:rPr>
    </w:lvl>
    <w:lvl w:ilvl="8" w:tplc="DD5CA0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F53F92"/>
    <w:multiLevelType w:val="hybridMultilevel"/>
    <w:tmpl w:val="F6AC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E2D54"/>
    <w:multiLevelType w:val="hybridMultilevel"/>
    <w:tmpl w:val="4BC2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76D81"/>
    <w:multiLevelType w:val="hybridMultilevel"/>
    <w:tmpl w:val="8466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4"/>
  </w:num>
  <w:num w:numId="4">
    <w:abstractNumId w:val="21"/>
  </w:num>
  <w:num w:numId="5">
    <w:abstractNumId w:val="7"/>
  </w:num>
  <w:num w:numId="6">
    <w:abstractNumId w:val="15"/>
  </w:num>
  <w:num w:numId="7">
    <w:abstractNumId w:val="16"/>
  </w:num>
  <w:num w:numId="8">
    <w:abstractNumId w:val="9"/>
  </w:num>
  <w:num w:numId="9">
    <w:abstractNumId w:val="13"/>
  </w:num>
  <w:num w:numId="10">
    <w:abstractNumId w:val="19"/>
  </w:num>
  <w:num w:numId="11">
    <w:abstractNumId w:val="8"/>
  </w:num>
  <w:num w:numId="12">
    <w:abstractNumId w:val="17"/>
  </w:num>
  <w:num w:numId="13">
    <w:abstractNumId w:val="12"/>
  </w:num>
  <w:num w:numId="14">
    <w:abstractNumId w:val="18"/>
  </w:num>
  <w:num w:numId="15">
    <w:abstractNumId w:val="5"/>
  </w:num>
  <w:num w:numId="16">
    <w:abstractNumId w:val="0"/>
  </w:num>
  <w:num w:numId="17">
    <w:abstractNumId w:val="1"/>
  </w:num>
  <w:num w:numId="18">
    <w:abstractNumId w:val="11"/>
  </w:num>
  <w:num w:numId="19">
    <w:abstractNumId w:val="4"/>
  </w:num>
  <w:num w:numId="20">
    <w:abstractNumId w:val="10"/>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75"/>
    <w:rsid w:val="00005A2C"/>
    <w:rsid w:val="00012757"/>
    <w:rsid w:val="0002022B"/>
    <w:rsid w:val="0002404C"/>
    <w:rsid w:val="000302AF"/>
    <w:rsid w:val="0003036F"/>
    <w:rsid w:val="00035D39"/>
    <w:rsid w:val="000426E2"/>
    <w:rsid w:val="0004707F"/>
    <w:rsid w:val="00047172"/>
    <w:rsid w:val="000526E9"/>
    <w:rsid w:val="000554E8"/>
    <w:rsid w:val="000568FC"/>
    <w:rsid w:val="0006393F"/>
    <w:rsid w:val="000808B7"/>
    <w:rsid w:val="000838EB"/>
    <w:rsid w:val="00094410"/>
    <w:rsid w:val="000953F1"/>
    <w:rsid w:val="000A01E1"/>
    <w:rsid w:val="000B0631"/>
    <w:rsid w:val="000B6A2D"/>
    <w:rsid w:val="000C0DA5"/>
    <w:rsid w:val="000C44AB"/>
    <w:rsid w:val="000C4516"/>
    <w:rsid w:val="000C6DFC"/>
    <w:rsid w:val="000D203B"/>
    <w:rsid w:val="000D27CD"/>
    <w:rsid w:val="000D4613"/>
    <w:rsid w:val="000D57CB"/>
    <w:rsid w:val="000D6317"/>
    <w:rsid w:val="000E0265"/>
    <w:rsid w:val="000F1D58"/>
    <w:rsid w:val="000F37CB"/>
    <w:rsid w:val="000F4E0D"/>
    <w:rsid w:val="0010302D"/>
    <w:rsid w:val="001102E2"/>
    <w:rsid w:val="00115E1B"/>
    <w:rsid w:val="00116612"/>
    <w:rsid w:val="00125C63"/>
    <w:rsid w:val="001307C7"/>
    <w:rsid w:val="00130F18"/>
    <w:rsid w:val="0013161D"/>
    <w:rsid w:val="00131BE0"/>
    <w:rsid w:val="0014115B"/>
    <w:rsid w:val="001440BB"/>
    <w:rsid w:val="001453A5"/>
    <w:rsid w:val="001518AA"/>
    <w:rsid w:val="001652EA"/>
    <w:rsid w:val="0017420D"/>
    <w:rsid w:val="001746B4"/>
    <w:rsid w:val="00177CA5"/>
    <w:rsid w:val="00180FEA"/>
    <w:rsid w:val="00185D37"/>
    <w:rsid w:val="00190ABF"/>
    <w:rsid w:val="00193E2B"/>
    <w:rsid w:val="001974D5"/>
    <w:rsid w:val="001A3B2C"/>
    <w:rsid w:val="001A6574"/>
    <w:rsid w:val="001B6201"/>
    <w:rsid w:val="001C4E89"/>
    <w:rsid w:val="001C66E2"/>
    <w:rsid w:val="001C6806"/>
    <w:rsid w:val="001D2A25"/>
    <w:rsid w:val="001D2B52"/>
    <w:rsid w:val="001D5412"/>
    <w:rsid w:val="001D70A3"/>
    <w:rsid w:val="001E0597"/>
    <w:rsid w:val="001E5E06"/>
    <w:rsid w:val="001E6DE0"/>
    <w:rsid w:val="001F1583"/>
    <w:rsid w:val="001F56F2"/>
    <w:rsid w:val="001F7E8E"/>
    <w:rsid w:val="00201F46"/>
    <w:rsid w:val="00202C37"/>
    <w:rsid w:val="00204F82"/>
    <w:rsid w:val="002062CD"/>
    <w:rsid w:val="00207739"/>
    <w:rsid w:val="002127F7"/>
    <w:rsid w:val="00213839"/>
    <w:rsid w:val="00215A18"/>
    <w:rsid w:val="0022152C"/>
    <w:rsid w:val="00227F3B"/>
    <w:rsid w:val="00233EEE"/>
    <w:rsid w:val="00242621"/>
    <w:rsid w:val="00243391"/>
    <w:rsid w:val="00260376"/>
    <w:rsid w:val="002647EC"/>
    <w:rsid w:val="00267F63"/>
    <w:rsid w:val="002750BF"/>
    <w:rsid w:val="00275D5E"/>
    <w:rsid w:val="00276448"/>
    <w:rsid w:val="00277500"/>
    <w:rsid w:val="00281436"/>
    <w:rsid w:val="00287AC7"/>
    <w:rsid w:val="00290576"/>
    <w:rsid w:val="00293684"/>
    <w:rsid w:val="00294106"/>
    <w:rsid w:val="00295FBF"/>
    <w:rsid w:val="00296FF0"/>
    <w:rsid w:val="002A019E"/>
    <w:rsid w:val="002A07BA"/>
    <w:rsid w:val="002A1090"/>
    <w:rsid w:val="002A113B"/>
    <w:rsid w:val="002A2AAD"/>
    <w:rsid w:val="002A5CA9"/>
    <w:rsid w:val="002B2A1E"/>
    <w:rsid w:val="002B3589"/>
    <w:rsid w:val="002B490A"/>
    <w:rsid w:val="002B62B0"/>
    <w:rsid w:val="002C22D1"/>
    <w:rsid w:val="002C3E85"/>
    <w:rsid w:val="002D0060"/>
    <w:rsid w:val="002D727B"/>
    <w:rsid w:val="002E767E"/>
    <w:rsid w:val="002F1A9F"/>
    <w:rsid w:val="002F3CCB"/>
    <w:rsid w:val="00301D81"/>
    <w:rsid w:val="00310923"/>
    <w:rsid w:val="00313E19"/>
    <w:rsid w:val="00317064"/>
    <w:rsid w:val="00323D7F"/>
    <w:rsid w:val="00330172"/>
    <w:rsid w:val="00333E91"/>
    <w:rsid w:val="00334DA6"/>
    <w:rsid w:val="00334F9C"/>
    <w:rsid w:val="003355D9"/>
    <w:rsid w:val="00337501"/>
    <w:rsid w:val="0034332B"/>
    <w:rsid w:val="00344432"/>
    <w:rsid w:val="00347B98"/>
    <w:rsid w:val="003642E3"/>
    <w:rsid w:val="00365345"/>
    <w:rsid w:val="00371A8D"/>
    <w:rsid w:val="00382290"/>
    <w:rsid w:val="00384B62"/>
    <w:rsid w:val="00387732"/>
    <w:rsid w:val="003930B4"/>
    <w:rsid w:val="003943FD"/>
    <w:rsid w:val="00394F85"/>
    <w:rsid w:val="003A2871"/>
    <w:rsid w:val="003B44B4"/>
    <w:rsid w:val="003B59EB"/>
    <w:rsid w:val="003D6520"/>
    <w:rsid w:val="003E6791"/>
    <w:rsid w:val="003F0A3D"/>
    <w:rsid w:val="004014CA"/>
    <w:rsid w:val="004020A7"/>
    <w:rsid w:val="00403768"/>
    <w:rsid w:val="00407727"/>
    <w:rsid w:val="00412756"/>
    <w:rsid w:val="00422D33"/>
    <w:rsid w:val="00423F7E"/>
    <w:rsid w:val="004339E5"/>
    <w:rsid w:val="00435B41"/>
    <w:rsid w:val="00437DC6"/>
    <w:rsid w:val="00442C0E"/>
    <w:rsid w:val="004458A2"/>
    <w:rsid w:val="00452EBA"/>
    <w:rsid w:val="00453FBA"/>
    <w:rsid w:val="0046055D"/>
    <w:rsid w:val="00461DB4"/>
    <w:rsid w:val="00465E02"/>
    <w:rsid w:val="0046751B"/>
    <w:rsid w:val="00474FA5"/>
    <w:rsid w:val="004761FB"/>
    <w:rsid w:val="00491D87"/>
    <w:rsid w:val="004A2948"/>
    <w:rsid w:val="004A3B16"/>
    <w:rsid w:val="004A40E0"/>
    <w:rsid w:val="004A6EC4"/>
    <w:rsid w:val="004C039F"/>
    <w:rsid w:val="004C0ECA"/>
    <w:rsid w:val="004C4013"/>
    <w:rsid w:val="004D36BF"/>
    <w:rsid w:val="004D61D0"/>
    <w:rsid w:val="004D657B"/>
    <w:rsid w:val="004E2B6D"/>
    <w:rsid w:val="004E42F9"/>
    <w:rsid w:val="004E7269"/>
    <w:rsid w:val="004F1F07"/>
    <w:rsid w:val="004F321A"/>
    <w:rsid w:val="004F3430"/>
    <w:rsid w:val="004F64CC"/>
    <w:rsid w:val="0050491B"/>
    <w:rsid w:val="005116EC"/>
    <w:rsid w:val="00511E3A"/>
    <w:rsid w:val="00512221"/>
    <w:rsid w:val="00514C32"/>
    <w:rsid w:val="0051519D"/>
    <w:rsid w:val="00516063"/>
    <w:rsid w:val="005224EA"/>
    <w:rsid w:val="00522E3F"/>
    <w:rsid w:val="005365FB"/>
    <w:rsid w:val="005377D0"/>
    <w:rsid w:val="00545F1E"/>
    <w:rsid w:val="00554DF6"/>
    <w:rsid w:val="005572D1"/>
    <w:rsid w:val="00573F0B"/>
    <w:rsid w:val="00575707"/>
    <w:rsid w:val="00581574"/>
    <w:rsid w:val="005837E4"/>
    <w:rsid w:val="00586FE7"/>
    <w:rsid w:val="0059436A"/>
    <w:rsid w:val="00594D30"/>
    <w:rsid w:val="005B4661"/>
    <w:rsid w:val="005C0D9A"/>
    <w:rsid w:val="005C2600"/>
    <w:rsid w:val="005C3AB6"/>
    <w:rsid w:val="005C51C9"/>
    <w:rsid w:val="005C6854"/>
    <w:rsid w:val="005D3BE5"/>
    <w:rsid w:val="005D455F"/>
    <w:rsid w:val="005D72F0"/>
    <w:rsid w:val="005E491C"/>
    <w:rsid w:val="005F02E3"/>
    <w:rsid w:val="005F1968"/>
    <w:rsid w:val="005F1D62"/>
    <w:rsid w:val="005F1DF4"/>
    <w:rsid w:val="005F3305"/>
    <w:rsid w:val="00602742"/>
    <w:rsid w:val="00607D47"/>
    <w:rsid w:val="00611CEE"/>
    <w:rsid w:val="00614403"/>
    <w:rsid w:val="00617941"/>
    <w:rsid w:val="00617CD7"/>
    <w:rsid w:val="006266AA"/>
    <w:rsid w:val="0062738F"/>
    <w:rsid w:val="00627C3E"/>
    <w:rsid w:val="00627F61"/>
    <w:rsid w:val="00632D74"/>
    <w:rsid w:val="00637FD2"/>
    <w:rsid w:val="00642826"/>
    <w:rsid w:val="00645A15"/>
    <w:rsid w:val="006509F7"/>
    <w:rsid w:val="00652211"/>
    <w:rsid w:val="006533C2"/>
    <w:rsid w:val="00656160"/>
    <w:rsid w:val="006572ED"/>
    <w:rsid w:val="00657F39"/>
    <w:rsid w:val="0066299A"/>
    <w:rsid w:val="00662DC3"/>
    <w:rsid w:val="0066396F"/>
    <w:rsid w:val="0066735D"/>
    <w:rsid w:val="0067002F"/>
    <w:rsid w:val="006748E5"/>
    <w:rsid w:val="00675E22"/>
    <w:rsid w:val="00675EA6"/>
    <w:rsid w:val="00676482"/>
    <w:rsid w:val="006816F6"/>
    <w:rsid w:val="0068173E"/>
    <w:rsid w:val="00682B3E"/>
    <w:rsid w:val="00687178"/>
    <w:rsid w:val="00687428"/>
    <w:rsid w:val="00687BDE"/>
    <w:rsid w:val="006941AE"/>
    <w:rsid w:val="006955EF"/>
    <w:rsid w:val="00695FA2"/>
    <w:rsid w:val="006970A3"/>
    <w:rsid w:val="006A25A4"/>
    <w:rsid w:val="006A3DA0"/>
    <w:rsid w:val="006A700F"/>
    <w:rsid w:val="006C2DE3"/>
    <w:rsid w:val="006C353F"/>
    <w:rsid w:val="006C6BB3"/>
    <w:rsid w:val="006C789A"/>
    <w:rsid w:val="006D4AD1"/>
    <w:rsid w:val="006D6416"/>
    <w:rsid w:val="006E0177"/>
    <w:rsid w:val="006E30FF"/>
    <w:rsid w:val="006E6CEE"/>
    <w:rsid w:val="006F049D"/>
    <w:rsid w:val="006F1616"/>
    <w:rsid w:val="006F1CD0"/>
    <w:rsid w:val="006F5A6B"/>
    <w:rsid w:val="00704457"/>
    <w:rsid w:val="00705A26"/>
    <w:rsid w:val="007061A6"/>
    <w:rsid w:val="00713ACA"/>
    <w:rsid w:val="00726389"/>
    <w:rsid w:val="007313D3"/>
    <w:rsid w:val="007331C7"/>
    <w:rsid w:val="00734391"/>
    <w:rsid w:val="00744163"/>
    <w:rsid w:val="007526F5"/>
    <w:rsid w:val="00762D77"/>
    <w:rsid w:val="0077455B"/>
    <w:rsid w:val="00774DF2"/>
    <w:rsid w:val="00777E22"/>
    <w:rsid w:val="007815AE"/>
    <w:rsid w:val="0079362D"/>
    <w:rsid w:val="007A2FA5"/>
    <w:rsid w:val="007B48C6"/>
    <w:rsid w:val="007C3967"/>
    <w:rsid w:val="007C7B2A"/>
    <w:rsid w:val="007D2533"/>
    <w:rsid w:val="00820327"/>
    <w:rsid w:val="0082061E"/>
    <w:rsid w:val="00821D07"/>
    <w:rsid w:val="00824FF4"/>
    <w:rsid w:val="00827D9B"/>
    <w:rsid w:val="00830133"/>
    <w:rsid w:val="008350D4"/>
    <w:rsid w:val="00836AC6"/>
    <w:rsid w:val="00837FE5"/>
    <w:rsid w:val="008436A7"/>
    <w:rsid w:val="00845ACD"/>
    <w:rsid w:val="00846D3A"/>
    <w:rsid w:val="008576EA"/>
    <w:rsid w:val="008634CE"/>
    <w:rsid w:val="00865E2C"/>
    <w:rsid w:val="00871C1B"/>
    <w:rsid w:val="00872835"/>
    <w:rsid w:val="00881CFC"/>
    <w:rsid w:val="00885F77"/>
    <w:rsid w:val="00891256"/>
    <w:rsid w:val="00894C7C"/>
    <w:rsid w:val="008958BD"/>
    <w:rsid w:val="008A0BDD"/>
    <w:rsid w:val="008A265C"/>
    <w:rsid w:val="008A3C15"/>
    <w:rsid w:val="008A45E8"/>
    <w:rsid w:val="008A654E"/>
    <w:rsid w:val="008A7B4D"/>
    <w:rsid w:val="008B3C0A"/>
    <w:rsid w:val="008B4D5E"/>
    <w:rsid w:val="008D1863"/>
    <w:rsid w:val="008D5797"/>
    <w:rsid w:val="008E625D"/>
    <w:rsid w:val="008E7E57"/>
    <w:rsid w:val="008F1020"/>
    <w:rsid w:val="008F55DD"/>
    <w:rsid w:val="008F5EA5"/>
    <w:rsid w:val="008F62F8"/>
    <w:rsid w:val="00905475"/>
    <w:rsid w:val="009136C5"/>
    <w:rsid w:val="00913EEA"/>
    <w:rsid w:val="0092565D"/>
    <w:rsid w:val="00934914"/>
    <w:rsid w:val="00936678"/>
    <w:rsid w:val="00937B01"/>
    <w:rsid w:val="009421CD"/>
    <w:rsid w:val="009475B3"/>
    <w:rsid w:val="00953AEC"/>
    <w:rsid w:val="009547D6"/>
    <w:rsid w:val="009601CD"/>
    <w:rsid w:val="00964870"/>
    <w:rsid w:val="009660F7"/>
    <w:rsid w:val="00966CFD"/>
    <w:rsid w:val="00966E3A"/>
    <w:rsid w:val="00974750"/>
    <w:rsid w:val="00981708"/>
    <w:rsid w:val="00991D32"/>
    <w:rsid w:val="00997891"/>
    <w:rsid w:val="009A2F80"/>
    <w:rsid w:val="009A5D0B"/>
    <w:rsid w:val="009A6864"/>
    <w:rsid w:val="009B2C07"/>
    <w:rsid w:val="009B3F52"/>
    <w:rsid w:val="009D2A61"/>
    <w:rsid w:val="009E1774"/>
    <w:rsid w:val="009E2179"/>
    <w:rsid w:val="009E4014"/>
    <w:rsid w:val="009E669D"/>
    <w:rsid w:val="009F0B6B"/>
    <w:rsid w:val="00A026DE"/>
    <w:rsid w:val="00A02C9C"/>
    <w:rsid w:val="00A0300E"/>
    <w:rsid w:val="00A10A15"/>
    <w:rsid w:val="00A12C4F"/>
    <w:rsid w:val="00A16102"/>
    <w:rsid w:val="00A16CCD"/>
    <w:rsid w:val="00A245F7"/>
    <w:rsid w:val="00A36511"/>
    <w:rsid w:val="00A40C10"/>
    <w:rsid w:val="00A40C4E"/>
    <w:rsid w:val="00A42D8A"/>
    <w:rsid w:val="00A43867"/>
    <w:rsid w:val="00A44391"/>
    <w:rsid w:val="00A46529"/>
    <w:rsid w:val="00A518BD"/>
    <w:rsid w:val="00A52DF5"/>
    <w:rsid w:val="00A54431"/>
    <w:rsid w:val="00A55D61"/>
    <w:rsid w:val="00A6110C"/>
    <w:rsid w:val="00A653D3"/>
    <w:rsid w:val="00A707CA"/>
    <w:rsid w:val="00A72363"/>
    <w:rsid w:val="00A857C3"/>
    <w:rsid w:val="00A93D01"/>
    <w:rsid w:val="00A96FA2"/>
    <w:rsid w:val="00A97C5A"/>
    <w:rsid w:val="00AA2E78"/>
    <w:rsid w:val="00AA5A95"/>
    <w:rsid w:val="00AB7117"/>
    <w:rsid w:val="00AC0AA6"/>
    <w:rsid w:val="00AC14AF"/>
    <w:rsid w:val="00AC1F89"/>
    <w:rsid w:val="00AC5251"/>
    <w:rsid w:val="00AD7C53"/>
    <w:rsid w:val="00AE3431"/>
    <w:rsid w:val="00AE6F2E"/>
    <w:rsid w:val="00AF6243"/>
    <w:rsid w:val="00B00E5C"/>
    <w:rsid w:val="00B01BEE"/>
    <w:rsid w:val="00B0376C"/>
    <w:rsid w:val="00B144F0"/>
    <w:rsid w:val="00B17956"/>
    <w:rsid w:val="00B21735"/>
    <w:rsid w:val="00B34DC2"/>
    <w:rsid w:val="00B3786E"/>
    <w:rsid w:val="00B43A7A"/>
    <w:rsid w:val="00B5572A"/>
    <w:rsid w:val="00B64FE3"/>
    <w:rsid w:val="00B65C18"/>
    <w:rsid w:val="00B7119C"/>
    <w:rsid w:val="00B76D31"/>
    <w:rsid w:val="00B85BF7"/>
    <w:rsid w:val="00B918F7"/>
    <w:rsid w:val="00B964F3"/>
    <w:rsid w:val="00B96749"/>
    <w:rsid w:val="00BA5A3E"/>
    <w:rsid w:val="00BA6540"/>
    <w:rsid w:val="00BB37F0"/>
    <w:rsid w:val="00BB412B"/>
    <w:rsid w:val="00BB7D36"/>
    <w:rsid w:val="00BC1E10"/>
    <w:rsid w:val="00BC2020"/>
    <w:rsid w:val="00BD3612"/>
    <w:rsid w:val="00BD376F"/>
    <w:rsid w:val="00BD4094"/>
    <w:rsid w:val="00BD493E"/>
    <w:rsid w:val="00BD589E"/>
    <w:rsid w:val="00BD5C0D"/>
    <w:rsid w:val="00BE47EC"/>
    <w:rsid w:val="00BE4CDD"/>
    <w:rsid w:val="00C13346"/>
    <w:rsid w:val="00C20A84"/>
    <w:rsid w:val="00C21DFC"/>
    <w:rsid w:val="00C2344C"/>
    <w:rsid w:val="00C24715"/>
    <w:rsid w:val="00C24770"/>
    <w:rsid w:val="00C344F9"/>
    <w:rsid w:val="00C40961"/>
    <w:rsid w:val="00C42E9A"/>
    <w:rsid w:val="00C45D3B"/>
    <w:rsid w:val="00C562F6"/>
    <w:rsid w:val="00C60154"/>
    <w:rsid w:val="00C75A53"/>
    <w:rsid w:val="00C76832"/>
    <w:rsid w:val="00C843E8"/>
    <w:rsid w:val="00C865CC"/>
    <w:rsid w:val="00C9519D"/>
    <w:rsid w:val="00C95FEB"/>
    <w:rsid w:val="00C9721C"/>
    <w:rsid w:val="00CA4BD9"/>
    <w:rsid w:val="00CB0CEE"/>
    <w:rsid w:val="00CB3726"/>
    <w:rsid w:val="00CB4877"/>
    <w:rsid w:val="00CB6525"/>
    <w:rsid w:val="00CC3227"/>
    <w:rsid w:val="00CC3251"/>
    <w:rsid w:val="00CC36E5"/>
    <w:rsid w:val="00CC3F35"/>
    <w:rsid w:val="00CC4842"/>
    <w:rsid w:val="00CD20BA"/>
    <w:rsid w:val="00CD2AF8"/>
    <w:rsid w:val="00CF3AAB"/>
    <w:rsid w:val="00CF4CB8"/>
    <w:rsid w:val="00D01E0D"/>
    <w:rsid w:val="00D143FA"/>
    <w:rsid w:val="00D237E4"/>
    <w:rsid w:val="00D265AB"/>
    <w:rsid w:val="00D37510"/>
    <w:rsid w:val="00D40532"/>
    <w:rsid w:val="00D42C35"/>
    <w:rsid w:val="00D518CE"/>
    <w:rsid w:val="00D574A5"/>
    <w:rsid w:val="00D57F29"/>
    <w:rsid w:val="00D644AC"/>
    <w:rsid w:val="00D85BC9"/>
    <w:rsid w:val="00D878FB"/>
    <w:rsid w:val="00D87FEA"/>
    <w:rsid w:val="00DA5C4E"/>
    <w:rsid w:val="00DB0568"/>
    <w:rsid w:val="00DB4CE5"/>
    <w:rsid w:val="00DB71D5"/>
    <w:rsid w:val="00DC3395"/>
    <w:rsid w:val="00DC35C2"/>
    <w:rsid w:val="00DC7FF9"/>
    <w:rsid w:val="00DD20F4"/>
    <w:rsid w:val="00DD3917"/>
    <w:rsid w:val="00DD43F5"/>
    <w:rsid w:val="00DD4486"/>
    <w:rsid w:val="00DD5295"/>
    <w:rsid w:val="00DD5A36"/>
    <w:rsid w:val="00DE4743"/>
    <w:rsid w:val="00DE5F92"/>
    <w:rsid w:val="00DF4397"/>
    <w:rsid w:val="00DF7436"/>
    <w:rsid w:val="00E0004A"/>
    <w:rsid w:val="00E05F82"/>
    <w:rsid w:val="00E203CA"/>
    <w:rsid w:val="00E20C6C"/>
    <w:rsid w:val="00E257C1"/>
    <w:rsid w:val="00E2590C"/>
    <w:rsid w:val="00E31008"/>
    <w:rsid w:val="00E40B90"/>
    <w:rsid w:val="00E52116"/>
    <w:rsid w:val="00E538FD"/>
    <w:rsid w:val="00E56278"/>
    <w:rsid w:val="00E57BFB"/>
    <w:rsid w:val="00E620F6"/>
    <w:rsid w:val="00E62D9B"/>
    <w:rsid w:val="00E71A49"/>
    <w:rsid w:val="00E73460"/>
    <w:rsid w:val="00E74135"/>
    <w:rsid w:val="00E74F0D"/>
    <w:rsid w:val="00E7507D"/>
    <w:rsid w:val="00E80233"/>
    <w:rsid w:val="00E804A6"/>
    <w:rsid w:val="00E82296"/>
    <w:rsid w:val="00E83054"/>
    <w:rsid w:val="00E8307B"/>
    <w:rsid w:val="00E927FF"/>
    <w:rsid w:val="00E9375E"/>
    <w:rsid w:val="00E93E78"/>
    <w:rsid w:val="00EA3731"/>
    <w:rsid w:val="00EC6C90"/>
    <w:rsid w:val="00EE1B44"/>
    <w:rsid w:val="00EE1B83"/>
    <w:rsid w:val="00EE459A"/>
    <w:rsid w:val="00F01129"/>
    <w:rsid w:val="00F24E97"/>
    <w:rsid w:val="00F41BB0"/>
    <w:rsid w:val="00F4495B"/>
    <w:rsid w:val="00F44D63"/>
    <w:rsid w:val="00F471F1"/>
    <w:rsid w:val="00F55CDF"/>
    <w:rsid w:val="00F715E4"/>
    <w:rsid w:val="00F737F8"/>
    <w:rsid w:val="00F747AC"/>
    <w:rsid w:val="00F83B04"/>
    <w:rsid w:val="00F86A3C"/>
    <w:rsid w:val="00F87887"/>
    <w:rsid w:val="00F878A1"/>
    <w:rsid w:val="00F91F3D"/>
    <w:rsid w:val="00F93AC5"/>
    <w:rsid w:val="00F943EA"/>
    <w:rsid w:val="00FC5544"/>
    <w:rsid w:val="00FC7574"/>
    <w:rsid w:val="00FD2B4B"/>
    <w:rsid w:val="00FE0790"/>
    <w:rsid w:val="00FE37CC"/>
    <w:rsid w:val="00FE47B7"/>
    <w:rsid w:val="00FF3EBD"/>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656C"/>
  <w15:chartTrackingRefBased/>
  <w15:docId w15:val="{FF581847-53CA-40F5-8609-2D110FEF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CEE"/>
    <w:pPr>
      <w:ind w:left="720"/>
      <w:contextualSpacing/>
    </w:pPr>
  </w:style>
  <w:style w:type="table" w:styleId="TableGrid">
    <w:name w:val="Table Grid"/>
    <w:basedOn w:val="TableNormal"/>
    <w:uiPriority w:val="39"/>
    <w:rsid w:val="0072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0B4"/>
    <w:rPr>
      <w:color w:val="0563C1" w:themeColor="hyperlink"/>
      <w:u w:val="single"/>
    </w:rPr>
  </w:style>
  <w:style w:type="paragraph" w:styleId="BalloonText">
    <w:name w:val="Balloon Text"/>
    <w:basedOn w:val="Normal"/>
    <w:link w:val="BalloonTextChar"/>
    <w:uiPriority w:val="99"/>
    <w:semiHidden/>
    <w:unhideWhenUsed/>
    <w:rsid w:val="001F1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583"/>
    <w:rPr>
      <w:rFonts w:ascii="Segoe UI" w:hAnsi="Segoe UI" w:cs="Segoe UI"/>
      <w:sz w:val="18"/>
      <w:szCs w:val="18"/>
    </w:rPr>
  </w:style>
  <w:style w:type="character" w:styleId="PlaceholderText">
    <w:name w:val="Placeholder Text"/>
    <w:basedOn w:val="DefaultParagraphFont"/>
    <w:uiPriority w:val="99"/>
    <w:semiHidden/>
    <w:rsid w:val="00281436"/>
    <w:rPr>
      <w:color w:val="808080"/>
    </w:rPr>
  </w:style>
  <w:style w:type="table" w:styleId="PlainTable3">
    <w:name w:val="Plain Table 3"/>
    <w:basedOn w:val="TableNormal"/>
    <w:uiPriority w:val="43"/>
    <w:rsid w:val="003B44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44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l">
    <w:name w:val="il"/>
    <w:basedOn w:val="DefaultParagraphFont"/>
    <w:rsid w:val="00A72363"/>
  </w:style>
  <w:style w:type="paragraph" w:styleId="FootnoteText">
    <w:name w:val="footnote text"/>
    <w:basedOn w:val="Normal"/>
    <w:link w:val="FootnoteTextChar"/>
    <w:uiPriority w:val="99"/>
    <w:semiHidden/>
    <w:unhideWhenUsed/>
    <w:rsid w:val="00F24E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E97"/>
    <w:rPr>
      <w:sz w:val="20"/>
      <w:szCs w:val="20"/>
    </w:rPr>
  </w:style>
  <w:style w:type="character" w:styleId="FootnoteReference">
    <w:name w:val="footnote reference"/>
    <w:basedOn w:val="DefaultParagraphFont"/>
    <w:uiPriority w:val="99"/>
    <w:semiHidden/>
    <w:unhideWhenUsed/>
    <w:rsid w:val="00F24E97"/>
    <w:rPr>
      <w:vertAlign w:val="superscript"/>
    </w:rPr>
  </w:style>
  <w:style w:type="character" w:customStyle="1" w:styleId="Heading2Char">
    <w:name w:val="Heading 2 Char"/>
    <w:basedOn w:val="DefaultParagraphFont"/>
    <w:link w:val="Heading2"/>
    <w:uiPriority w:val="9"/>
    <w:rsid w:val="000838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38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38EB"/>
    <w:pPr>
      <w:spacing w:after="0" w:line="240" w:lineRule="auto"/>
    </w:pPr>
  </w:style>
  <w:style w:type="character" w:styleId="BookTitle">
    <w:name w:val="Book Title"/>
    <w:basedOn w:val="DefaultParagraphFont"/>
    <w:uiPriority w:val="33"/>
    <w:qFormat/>
    <w:rsid w:val="000838EB"/>
    <w:rPr>
      <w:b/>
      <w:bCs/>
      <w:i/>
      <w:iCs/>
      <w:spacing w:val="5"/>
    </w:rPr>
  </w:style>
  <w:style w:type="paragraph" w:styleId="Title">
    <w:name w:val="Title"/>
    <w:basedOn w:val="Normal"/>
    <w:next w:val="Normal"/>
    <w:link w:val="TitleChar"/>
    <w:uiPriority w:val="10"/>
    <w:qFormat/>
    <w:rsid w:val="00083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648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9362D"/>
    <w:rPr>
      <w:color w:val="605E5C"/>
      <w:shd w:val="clear" w:color="auto" w:fill="E1DFDD"/>
    </w:rPr>
  </w:style>
  <w:style w:type="character" w:styleId="Emphasis">
    <w:name w:val="Emphasis"/>
    <w:basedOn w:val="DefaultParagraphFont"/>
    <w:uiPriority w:val="20"/>
    <w:qFormat/>
    <w:rsid w:val="0066299A"/>
    <w:rPr>
      <w:i/>
      <w:iCs/>
    </w:rPr>
  </w:style>
  <w:style w:type="character" w:styleId="CommentReference">
    <w:name w:val="annotation reference"/>
    <w:basedOn w:val="DefaultParagraphFont"/>
    <w:uiPriority w:val="99"/>
    <w:semiHidden/>
    <w:unhideWhenUsed/>
    <w:rsid w:val="00894C7C"/>
    <w:rPr>
      <w:sz w:val="16"/>
      <w:szCs w:val="16"/>
    </w:rPr>
  </w:style>
  <w:style w:type="paragraph" w:styleId="CommentText">
    <w:name w:val="annotation text"/>
    <w:basedOn w:val="Normal"/>
    <w:link w:val="CommentTextChar"/>
    <w:uiPriority w:val="99"/>
    <w:unhideWhenUsed/>
    <w:rsid w:val="00894C7C"/>
    <w:pPr>
      <w:spacing w:line="240" w:lineRule="auto"/>
    </w:pPr>
    <w:rPr>
      <w:sz w:val="20"/>
      <w:szCs w:val="20"/>
    </w:rPr>
  </w:style>
  <w:style w:type="character" w:customStyle="1" w:styleId="CommentTextChar">
    <w:name w:val="Comment Text Char"/>
    <w:basedOn w:val="DefaultParagraphFont"/>
    <w:link w:val="CommentText"/>
    <w:uiPriority w:val="99"/>
    <w:rsid w:val="00894C7C"/>
    <w:rPr>
      <w:sz w:val="20"/>
      <w:szCs w:val="20"/>
    </w:rPr>
  </w:style>
  <w:style w:type="paragraph" w:styleId="CommentSubject">
    <w:name w:val="annotation subject"/>
    <w:basedOn w:val="CommentText"/>
    <w:next w:val="CommentText"/>
    <w:link w:val="CommentSubjectChar"/>
    <w:uiPriority w:val="99"/>
    <w:semiHidden/>
    <w:unhideWhenUsed/>
    <w:rsid w:val="00894C7C"/>
    <w:rPr>
      <w:b/>
      <w:bCs/>
    </w:rPr>
  </w:style>
  <w:style w:type="character" w:customStyle="1" w:styleId="CommentSubjectChar">
    <w:name w:val="Comment Subject Char"/>
    <w:basedOn w:val="CommentTextChar"/>
    <w:link w:val="CommentSubject"/>
    <w:uiPriority w:val="99"/>
    <w:semiHidden/>
    <w:rsid w:val="00894C7C"/>
    <w:rPr>
      <w:b/>
      <w:bCs/>
      <w:sz w:val="20"/>
      <w:szCs w:val="20"/>
    </w:rPr>
  </w:style>
  <w:style w:type="table" w:styleId="GridTable5Dark-Accent6">
    <w:name w:val="Grid Table 5 Dark Accent 6"/>
    <w:basedOn w:val="TableNormal"/>
    <w:uiPriority w:val="50"/>
    <w:rsid w:val="006955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E71A4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3">
    <w:name w:val="Grid Table 6 Colorful Accent 3"/>
    <w:basedOn w:val="TableNormal"/>
    <w:uiPriority w:val="51"/>
    <w:rsid w:val="00AB711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3E679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412756"/>
    <w:rPr>
      <w:color w:val="954F72" w:themeColor="followedHyperlink"/>
      <w:u w:val="single"/>
    </w:rPr>
  </w:style>
  <w:style w:type="table" w:styleId="GridTable2-Accent3">
    <w:name w:val="Grid Table 2 Accent 3"/>
    <w:basedOn w:val="TableNormal"/>
    <w:uiPriority w:val="47"/>
    <w:rsid w:val="00227F3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227F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B711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B7119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395">
      <w:bodyDiv w:val="1"/>
      <w:marLeft w:val="0"/>
      <w:marRight w:val="0"/>
      <w:marTop w:val="0"/>
      <w:marBottom w:val="0"/>
      <w:divBdr>
        <w:top w:val="none" w:sz="0" w:space="0" w:color="auto"/>
        <w:left w:val="none" w:sz="0" w:space="0" w:color="auto"/>
        <w:bottom w:val="none" w:sz="0" w:space="0" w:color="auto"/>
        <w:right w:val="none" w:sz="0" w:space="0" w:color="auto"/>
      </w:divBdr>
    </w:div>
    <w:div w:id="98837269">
      <w:bodyDiv w:val="1"/>
      <w:marLeft w:val="0"/>
      <w:marRight w:val="0"/>
      <w:marTop w:val="0"/>
      <w:marBottom w:val="0"/>
      <w:divBdr>
        <w:top w:val="none" w:sz="0" w:space="0" w:color="auto"/>
        <w:left w:val="none" w:sz="0" w:space="0" w:color="auto"/>
        <w:bottom w:val="none" w:sz="0" w:space="0" w:color="auto"/>
        <w:right w:val="none" w:sz="0" w:space="0" w:color="auto"/>
      </w:divBdr>
    </w:div>
    <w:div w:id="324675609">
      <w:bodyDiv w:val="1"/>
      <w:marLeft w:val="0"/>
      <w:marRight w:val="0"/>
      <w:marTop w:val="0"/>
      <w:marBottom w:val="0"/>
      <w:divBdr>
        <w:top w:val="none" w:sz="0" w:space="0" w:color="auto"/>
        <w:left w:val="none" w:sz="0" w:space="0" w:color="auto"/>
        <w:bottom w:val="none" w:sz="0" w:space="0" w:color="auto"/>
        <w:right w:val="none" w:sz="0" w:space="0" w:color="auto"/>
      </w:divBdr>
    </w:div>
    <w:div w:id="667253799">
      <w:bodyDiv w:val="1"/>
      <w:marLeft w:val="0"/>
      <w:marRight w:val="0"/>
      <w:marTop w:val="0"/>
      <w:marBottom w:val="0"/>
      <w:divBdr>
        <w:top w:val="none" w:sz="0" w:space="0" w:color="auto"/>
        <w:left w:val="none" w:sz="0" w:space="0" w:color="auto"/>
        <w:bottom w:val="none" w:sz="0" w:space="0" w:color="auto"/>
        <w:right w:val="none" w:sz="0" w:space="0" w:color="auto"/>
      </w:divBdr>
      <w:divsChild>
        <w:div w:id="1974942758">
          <w:marLeft w:val="0"/>
          <w:marRight w:val="0"/>
          <w:marTop w:val="0"/>
          <w:marBottom w:val="0"/>
          <w:divBdr>
            <w:top w:val="none" w:sz="0" w:space="0" w:color="auto"/>
            <w:left w:val="none" w:sz="0" w:space="0" w:color="auto"/>
            <w:bottom w:val="none" w:sz="0" w:space="0" w:color="auto"/>
            <w:right w:val="none" w:sz="0" w:space="0" w:color="auto"/>
          </w:divBdr>
        </w:div>
      </w:divsChild>
    </w:div>
    <w:div w:id="983781705">
      <w:bodyDiv w:val="1"/>
      <w:marLeft w:val="0"/>
      <w:marRight w:val="0"/>
      <w:marTop w:val="0"/>
      <w:marBottom w:val="0"/>
      <w:divBdr>
        <w:top w:val="none" w:sz="0" w:space="0" w:color="auto"/>
        <w:left w:val="none" w:sz="0" w:space="0" w:color="auto"/>
        <w:bottom w:val="none" w:sz="0" w:space="0" w:color="auto"/>
        <w:right w:val="none" w:sz="0" w:space="0" w:color="auto"/>
      </w:divBdr>
      <w:divsChild>
        <w:div w:id="932785351">
          <w:marLeft w:val="720"/>
          <w:marRight w:val="0"/>
          <w:marTop w:val="0"/>
          <w:marBottom w:val="0"/>
          <w:divBdr>
            <w:top w:val="none" w:sz="0" w:space="0" w:color="auto"/>
            <w:left w:val="none" w:sz="0" w:space="0" w:color="auto"/>
            <w:bottom w:val="none" w:sz="0" w:space="0" w:color="auto"/>
            <w:right w:val="none" w:sz="0" w:space="0" w:color="auto"/>
          </w:divBdr>
        </w:div>
        <w:div w:id="98256717">
          <w:marLeft w:val="720"/>
          <w:marRight w:val="0"/>
          <w:marTop w:val="0"/>
          <w:marBottom w:val="0"/>
          <w:divBdr>
            <w:top w:val="none" w:sz="0" w:space="0" w:color="auto"/>
            <w:left w:val="none" w:sz="0" w:space="0" w:color="auto"/>
            <w:bottom w:val="none" w:sz="0" w:space="0" w:color="auto"/>
            <w:right w:val="none" w:sz="0" w:space="0" w:color="auto"/>
          </w:divBdr>
        </w:div>
        <w:div w:id="1033114717">
          <w:marLeft w:val="720"/>
          <w:marRight w:val="0"/>
          <w:marTop w:val="0"/>
          <w:marBottom w:val="0"/>
          <w:divBdr>
            <w:top w:val="none" w:sz="0" w:space="0" w:color="auto"/>
            <w:left w:val="none" w:sz="0" w:space="0" w:color="auto"/>
            <w:bottom w:val="none" w:sz="0" w:space="0" w:color="auto"/>
            <w:right w:val="none" w:sz="0" w:space="0" w:color="auto"/>
          </w:divBdr>
        </w:div>
        <w:div w:id="965505814">
          <w:marLeft w:val="720"/>
          <w:marRight w:val="0"/>
          <w:marTop w:val="0"/>
          <w:marBottom w:val="0"/>
          <w:divBdr>
            <w:top w:val="none" w:sz="0" w:space="0" w:color="auto"/>
            <w:left w:val="none" w:sz="0" w:space="0" w:color="auto"/>
            <w:bottom w:val="none" w:sz="0" w:space="0" w:color="auto"/>
            <w:right w:val="none" w:sz="0" w:space="0" w:color="auto"/>
          </w:divBdr>
        </w:div>
      </w:divsChild>
    </w:div>
    <w:div w:id="1074932513">
      <w:bodyDiv w:val="1"/>
      <w:marLeft w:val="0"/>
      <w:marRight w:val="0"/>
      <w:marTop w:val="0"/>
      <w:marBottom w:val="0"/>
      <w:divBdr>
        <w:top w:val="none" w:sz="0" w:space="0" w:color="auto"/>
        <w:left w:val="none" w:sz="0" w:space="0" w:color="auto"/>
        <w:bottom w:val="none" w:sz="0" w:space="0" w:color="auto"/>
        <w:right w:val="none" w:sz="0" w:space="0" w:color="auto"/>
      </w:divBdr>
    </w:div>
    <w:div w:id="1096439837">
      <w:bodyDiv w:val="1"/>
      <w:marLeft w:val="0"/>
      <w:marRight w:val="0"/>
      <w:marTop w:val="0"/>
      <w:marBottom w:val="0"/>
      <w:divBdr>
        <w:top w:val="none" w:sz="0" w:space="0" w:color="auto"/>
        <w:left w:val="none" w:sz="0" w:space="0" w:color="auto"/>
        <w:bottom w:val="none" w:sz="0" w:space="0" w:color="auto"/>
        <w:right w:val="none" w:sz="0" w:space="0" w:color="auto"/>
      </w:divBdr>
    </w:div>
    <w:div w:id="1252621399">
      <w:bodyDiv w:val="1"/>
      <w:marLeft w:val="0"/>
      <w:marRight w:val="0"/>
      <w:marTop w:val="0"/>
      <w:marBottom w:val="0"/>
      <w:divBdr>
        <w:top w:val="none" w:sz="0" w:space="0" w:color="auto"/>
        <w:left w:val="none" w:sz="0" w:space="0" w:color="auto"/>
        <w:bottom w:val="none" w:sz="0" w:space="0" w:color="auto"/>
        <w:right w:val="none" w:sz="0" w:space="0" w:color="auto"/>
      </w:divBdr>
    </w:div>
    <w:div w:id="1750270992">
      <w:bodyDiv w:val="1"/>
      <w:marLeft w:val="0"/>
      <w:marRight w:val="0"/>
      <w:marTop w:val="0"/>
      <w:marBottom w:val="0"/>
      <w:divBdr>
        <w:top w:val="none" w:sz="0" w:space="0" w:color="auto"/>
        <w:left w:val="none" w:sz="0" w:space="0" w:color="auto"/>
        <w:bottom w:val="none" w:sz="0" w:space="0" w:color="auto"/>
        <w:right w:val="none" w:sz="0" w:space="0" w:color="auto"/>
      </w:divBdr>
    </w:div>
    <w:div w:id="1838495023">
      <w:bodyDiv w:val="1"/>
      <w:marLeft w:val="0"/>
      <w:marRight w:val="0"/>
      <w:marTop w:val="0"/>
      <w:marBottom w:val="0"/>
      <w:divBdr>
        <w:top w:val="none" w:sz="0" w:space="0" w:color="auto"/>
        <w:left w:val="none" w:sz="0" w:space="0" w:color="auto"/>
        <w:bottom w:val="none" w:sz="0" w:space="0" w:color="auto"/>
        <w:right w:val="none" w:sz="0" w:space="0" w:color="auto"/>
      </w:divBdr>
      <w:divsChild>
        <w:div w:id="493301762">
          <w:marLeft w:val="720"/>
          <w:marRight w:val="0"/>
          <w:marTop w:val="80"/>
          <w:marBottom w:val="80"/>
          <w:divBdr>
            <w:top w:val="none" w:sz="0" w:space="0" w:color="auto"/>
            <w:left w:val="none" w:sz="0" w:space="0" w:color="auto"/>
            <w:bottom w:val="none" w:sz="0" w:space="0" w:color="auto"/>
            <w:right w:val="none" w:sz="0" w:space="0" w:color="auto"/>
          </w:divBdr>
        </w:div>
        <w:div w:id="68355757">
          <w:marLeft w:val="720"/>
          <w:marRight w:val="0"/>
          <w:marTop w:val="80"/>
          <w:marBottom w:val="80"/>
          <w:divBdr>
            <w:top w:val="none" w:sz="0" w:space="0" w:color="auto"/>
            <w:left w:val="none" w:sz="0" w:space="0" w:color="auto"/>
            <w:bottom w:val="none" w:sz="0" w:space="0" w:color="auto"/>
            <w:right w:val="none" w:sz="0" w:space="0" w:color="auto"/>
          </w:divBdr>
        </w:div>
        <w:div w:id="83187547">
          <w:marLeft w:val="720"/>
          <w:marRight w:val="0"/>
          <w:marTop w:val="80"/>
          <w:marBottom w:val="80"/>
          <w:divBdr>
            <w:top w:val="none" w:sz="0" w:space="0" w:color="auto"/>
            <w:left w:val="none" w:sz="0" w:space="0" w:color="auto"/>
            <w:bottom w:val="none" w:sz="0" w:space="0" w:color="auto"/>
            <w:right w:val="none" w:sz="0" w:space="0" w:color="auto"/>
          </w:divBdr>
        </w:div>
        <w:div w:id="1019240277">
          <w:marLeft w:val="720"/>
          <w:marRight w:val="0"/>
          <w:marTop w:val="80"/>
          <w:marBottom w:val="80"/>
          <w:divBdr>
            <w:top w:val="none" w:sz="0" w:space="0" w:color="auto"/>
            <w:left w:val="none" w:sz="0" w:space="0" w:color="auto"/>
            <w:bottom w:val="none" w:sz="0" w:space="0" w:color="auto"/>
            <w:right w:val="none" w:sz="0" w:space="0" w:color="auto"/>
          </w:divBdr>
        </w:div>
      </w:divsChild>
    </w:div>
    <w:div w:id="1842773610">
      <w:bodyDiv w:val="1"/>
      <w:marLeft w:val="0"/>
      <w:marRight w:val="0"/>
      <w:marTop w:val="0"/>
      <w:marBottom w:val="0"/>
      <w:divBdr>
        <w:top w:val="none" w:sz="0" w:space="0" w:color="auto"/>
        <w:left w:val="none" w:sz="0" w:space="0" w:color="auto"/>
        <w:bottom w:val="none" w:sz="0" w:space="0" w:color="auto"/>
        <w:right w:val="none" w:sz="0" w:space="0" w:color="auto"/>
      </w:divBdr>
      <w:divsChild>
        <w:div w:id="345790746">
          <w:marLeft w:val="0"/>
          <w:marRight w:val="0"/>
          <w:marTop w:val="0"/>
          <w:marBottom w:val="0"/>
          <w:divBdr>
            <w:top w:val="none" w:sz="0" w:space="0" w:color="auto"/>
            <w:left w:val="none" w:sz="0" w:space="0" w:color="auto"/>
            <w:bottom w:val="none" w:sz="0" w:space="0" w:color="auto"/>
            <w:right w:val="none" w:sz="0" w:space="0" w:color="auto"/>
          </w:divBdr>
        </w:div>
      </w:divsChild>
    </w:div>
    <w:div w:id="1958634435">
      <w:bodyDiv w:val="1"/>
      <w:marLeft w:val="0"/>
      <w:marRight w:val="0"/>
      <w:marTop w:val="0"/>
      <w:marBottom w:val="0"/>
      <w:divBdr>
        <w:top w:val="none" w:sz="0" w:space="0" w:color="auto"/>
        <w:left w:val="none" w:sz="0" w:space="0" w:color="auto"/>
        <w:bottom w:val="none" w:sz="0" w:space="0" w:color="auto"/>
        <w:right w:val="none" w:sz="0" w:space="0" w:color="auto"/>
      </w:divBdr>
      <w:divsChild>
        <w:div w:id="325859578">
          <w:marLeft w:val="0"/>
          <w:marRight w:val="0"/>
          <w:marTop w:val="0"/>
          <w:marBottom w:val="0"/>
          <w:divBdr>
            <w:top w:val="none" w:sz="0" w:space="0" w:color="auto"/>
            <w:left w:val="none" w:sz="0" w:space="0" w:color="auto"/>
            <w:bottom w:val="none" w:sz="0" w:space="0" w:color="auto"/>
            <w:right w:val="none" w:sz="0" w:space="0" w:color="auto"/>
          </w:divBdr>
        </w:div>
      </w:divsChild>
    </w:div>
    <w:div w:id="20322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www.texashealth.org/news/texas-health-resources-and-adeptus-health-join-forces-to-enhance-access-to-emergency-care-in-north-tex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Texas Independent Freestanding EDs: </a:t>
            </a:r>
            <a:endParaRPr lang="en-US" sz="1300">
              <a:effectLst/>
            </a:endParaRPr>
          </a:p>
          <a:p>
            <a:pPr>
              <a:defRPr/>
            </a:pPr>
            <a:r>
              <a:rPr lang="en-US" sz="1300" b="0" i="0" baseline="0">
                <a:effectLst/>
              </a:rPr>
              <a:t>Timing of Openings and Closings by Year</a:t>
            </a:r>
            <a:endParaRPr lang="en-US" sz="13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IFED Openings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Sheet1!$B$2:$B$9</c:f>
              <c:numCache>
                <c:formatCode>General</c:formatCode>
                <c:ptCount val="8"/>
                <c:pt idx="0">
                  <c:v>22</c:v>
                </c:pt>
                <c:pt idx="1">
                  <c:v>6</c:v>
                </c:pt>
                <c:pt idx="2">
                  <c:v>25</c:v>
                </c:pt>
                <c:pt idx="3">
                  <c:v>38</c:v>
                </c:pt>
                <c:pt idx="4">
                  <c:v>52</c:v>
                </c:pt>
                <c:pt idx="5">
                  <c:v>71</c:v>
                </c:pt>
                <c:pt idx="6">
                  <c:v>74</c:v>
                </c:pt>
                <c:pt idx="7">
                  <c:v>37</c:v>
                </c:pt>
              </c:numCache>
            </c:numRef>
          </c:val>
          <c:extLst>
            <c:ext xmlns:c16="http://schemas.microsoft.com/office/drawing/2014/chart" uri="{C3380CC4-5D6E-409C-BE32-E72D297353CC}">
              <c16:uniqueId val="{00000000-F368-499A-A017-EECF49551BC7}"/>
            </c:ext>
          </c:extLst>
        </c:ser>
        <c:ser>
          <c:idx val="1"/>
          <c:order val="1"/>
          <c:tx>
            <c:strRef>
              <c:f>Sheet1!$C$1</c:f>
              <c:strCache>
                <c:ptCount val="1"/>
                <c:pt idx="0">
                  <c:v>IFED Closings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Sheet1!$C$2:$C$9</c:f>
              <c:numCache>
                <c:formatCode>General</c:formatCode>
                <c:ptCount val="8"/>
                <c:pt idx="0">
                  <c:v>0</c:v>
                </c:pt>
                <c:pt idx="1">
                  <c:v>1</c:v>
                </c:pt>
                <c:pt idx="2">
                  <c:v>2</c:v>
                </c:pt>
                <c:pt idx="3">
                  <c:v>1</c:v>
                </c:pt>
                <c:pt idx="4">
                  <c:v>2</c:v>
                </c:pt>
                <c:pt idx="5">
                  <c:v>7</c:v>
                </c:pt>
                <c:pt idx="6">
                  <c:v>55</c:v>
                </c:pt>
                <c:pt idx="7">
                  <c:v>45</c:v>
                </c:pt>
              </c:numCache>
            </c:numRef>
          </c:val>
          <c:extLst>
            <c:ext xmlns:c16="http://schemas.microsoft.com/office/drawing/2014/chart" uri="{C3380CC4-5D6E-409C-BE32-E72D297353CC}">
              <c16:uniqueId val="{00000001-F368-499A-A017-EECF49551BC7}"/>
            </c:ext>
          </c:extLst>
        </c:ser>
        <c:dLbls>
          <c:showLegendKey val="0"/>
          <c:showVal val="0"/>
          <c:showCatName val="0"/>
          <c:showSerName val="0"/>
          <c:showPercent val="0"/>
          <c:showBubbleSize val="0"/>
        </c:dLbls>
        <c:gapWidth val="219"/>
        <c:overlap val="-27"/>
        <c:axId val="447004592"/>
        <c:axId val="447001640"/>
      </c:barChart>
      <c:catAx>
        <c:axId val="44700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01640"/>
        <c:crosses val="autoZero"/>
        <c:auto val="1"/>
        <c:lblAlgn val="ctr"/>
        <c:lblOffset val="100"/>
        <c:noMultiLvlLbl val="0"/>
      </c:catAx>
      <c:valAx>
        <c:axId val="44700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0459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340B-4847-41B6-90D5-86A87837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8388</TotalTime>
  <Pages>13</Pages>
  <Words>5184</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Xu</dc:creator>
  <cp:keywords/>
  <dc:description/>
  <cp:lastModifiedBy>Yingying Xu</cp:lastModifiedBy>
  <cp:revision>206</cp:revision>
  <cp:lastPrinted>2018-05-22T15:18:00Z</cp:lastPrinted>
  <dcterms:created xsi:type="dcterms:W3CDTF">2018-05-07T20:09:00Z</dcterms:created>
  <dcterms:modified xsi:type="dcterms:W3CDTF">2018-08-15T18:54:00Z</dcterms:modified>
</cp:coreProperties>
</file>