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pPr>
      <w:r>
        <w:rPr>
          <w:rFonts w:ascii="Calibri" w:hAnsi="Calibri"/>
          <w:b/>
          <w:color w:val="3D5C43"/>
          <w:sz w:val="20"/>
        </w:rPr>
        <w:t>CRM PRODUCT REPORT</w:t>
      </w:r>
    </w:p>
    <w:p>
      <w:pPr>
        <w:spacing w:before="0" w:after="100"/>
      </w:pPr>
      <w:r>
        <w:rPr>
          <w:rFonts w:ascii="Calibri" w:hAnsi="Calibri"/>
          <w:b/>
          <w:color w:val="214E5F"/>
          <w:sz w:val="52"/>
        </w:rPr>
        <w:t>BK FastLane CRM:</w:t>
        <w:br/>
        <w:t>Contact to Petition Prep</w:t>
      </w:r>
    </w:p>
    <w:p>
      <w:pPr>
        <w:spacing w:after="280"/>
      </w:pPr>
      <w:r>
        <w:rPr>
          <w:rFonts w:ascii="Calibri" w:hAnsi="Calibri"/>
          <w:color w:val="667069"/>
          <w:sz w:val="27"/>
        </w:rPr>
        <w:t>Plain-English product review for Jimmy Stein and Matt McCune · Glade + Clio competitive pass</w:t>
      </w:r>
    </w:p>
    <w:p>
      <w:pPr>
        <w:spacing w:after="40"/>
      </w:pPr>
      <w:r>
        <w:rPr>
          <w:rFonts w:ascii="Calibri" w:hAnsi="Calibri"/>
          <w:b/>
          <w:color w:val="313C35"/>
          <w:sz w:val="21"/>
        </w:rPr>
        <w:t xml:space="preserve">Date: </w:t>
      </w:r>
      <w:r>
        <w:rPr>
          <w:rFonts w:ascii="Calibri" w:hAnsi="Calibri"/>
          <w:color w:val="667069"/>
          <w:sz w:val="21"/>
        </w:rPr>
        <w:t>July 14, 2026</w:t>
      </w:r>
    </w:p>
    <w:p>
      <w:pPr>
        <w:spacing w:after="40"/>
      </w:pPr>
      <w:r>
        <w:rPr>
          <w:rFonts w:ascii="Calibri" w:hAnsi="Calibri"/>
          <w:b/>
          <w:color w:val="313C35"/>
          <w:sz w:val="21"/>
        </w:rPr>
        <w:t xml:space="preserve">Status: </w:t>
      </w:r>
      <w:r>
        <w:rPr>
          <w:rFonts w:ascii="Calibri" w:hAnsi="Calibri"/>
          <w:color w:val="667069"/>
          <w:sz w:val="21"/>
        </w:rPr>
        <w:t>Live fake-data demo verified</w:t>
      </w:r>
    </w:p>
    <w:p>
      <w:pPr>
        <w:spacing w:after="40"/>
      </w:pPr>
      <w:r>
        <w:rPr>
          <w:rFonts w:ascii="Calibri" w:hAnsi="Calibri"/>
          <w:b/>
          <w:color w:val="313C35"/>
          <w:sz w:val="21"/>
        </w:rPr>
        <w:t xml:space="preserve">Branch: </w:t>
      </w:r>
      <w:r>
        <w:rPr>
          <w:rFonts w:ascii="Calibri" w:hAnsi="Calibri"/>
          <w:color w:val="667069"/>
          <w:sz w:val="21"/>
        </w:rPr>
        <w:t>Jimmy - Contact to Petition Prep</w:t>
      </w:r>
    </w:p>
    <w:p>
      <w:pPr>
        <w:spacing w:after="280"/>
      </w:pPr>
      <w:r>
        <w:rPr>
          <w:rFonts w:ascii="Calibri" w:hAnsi="Calibri"/>
          <w:b/>
          <w:color w:val="313C35"/>
          <w:sz w:val="21"/>
        </w:rPr>
        <w:t xml:space="preserve">Live demo: </w:t>
      </w:r>
      <w:hyperlink r:id="rId11">
        <w:r>
          <w:rPr>
            <w:rFonts w:ascii="Calibri" w:hAnsi="Calibri"/>
            <w:color w:val="214E5F"/>
            <w:u w:val="single"/>
            <w:b/>
          </w:rPr>
          <w:t>jimmydanol.github.io/bkfl-crm-lite</w:t>
        </w:r>
      </w:hyperlink>
    </w:p>
    <w:tbl>
      <w:tblPr>
        <w:tblW w:type="auto" w:w="0"/>
        <w:jc w:val="left"/>
        <w:tblLayout w:type="fixed"/>
        <w:tblLook w:firstColumn="1" w:firstRow="1" w:lastColumn="0" w:lastRow="0" w:noHBand="0" w:noVBand="1" w:val="04A0"/>
        <w:tblBorders>
          <w:top w:val="single" w:sz="6" w:space="0" w:color="D9E0DA"/>
          <w:left w:val="single" w:sz="6" w:space="0" w:color="D9E0DA"/>
          <w:bottom w:val="single" w:sz="6" w:space="0" w:color="D9E0DA"/>
          <w:right w:val="single" w:sz="6" w:space="0" w:color="D9E0DA"/>
          <w:insideH w:val="single" w:sz="6" w:space="0" w:color="D9E0DA"/>
          <w:insideV w:val="single" w:sz="6" w:space="0" w:color="D9E0DA"/>
        </w:tblBorders>
      </w:tblPr>
      <w:tblGrid>
        <w:gridCol w:w="9360"/>
      </w:tblGrid>
      <w:tr>
        <w:trPr>
          <w:tblHeader w:val="true"/>
        </w:trPr>
        <w:tc>
          <w:tcPr>
            <w:tcW w:type="dxa" w:w="9360"/>
            <w:vAlign w:val="center"/>
            <w:tcMar>
              <w:top w:w="100" w:type="dxa"/>
              <w:start w:w="120" w:type="dxa"/>
              <w:bottom w:w="100" w:type="dxa"/>
              <w:end w:w="120" w:type="dxa"/>
            </w:tcMar>
            <w:shd w:fill="EEF5EF"/>
          </w:tcPr>
          <w:p>
            <w:pPr>
              <w:spacing w:after="0"/>
            </w:pPr>
            <w:r>
              <w:rPr>
                <w:rFonts w:ascii="Calibri" w:hAnsi="Calibri"/>
                <w:b/>
                <w:color w:val="3D5C43"/>
                <w:sz w:val="22"/>
              </w:rPr>
              <w:t xml:space="preserve">VERDICT  </w:t>
            </w:r>
            <w:r>
              <w:rPr>
                <w:rFonts w:ascii="Calibri" w:hAnsi="Calibri"/>
                <w:color w:val="313C35"/>
                <w:sz w:val="22"/>
              </w:rPr>
              <w:t>The product direction is clear enough to explain to a solo bankruptcy attorney in a few minutes. The revised Document workflow adds the best practical lessons from Glade and Clio while preserving Matt's lean four-part structure.</w:t>
            </w:r>
          </w:p>
        </w:tc>
      </w:tr>
    </w:tbl>
    <w:p>
      <w:pPr>
        <w:spacing w:after="20"/>
      </w:pPr>
    </w:p>
    <w:p>
      <w:pPr>
        <w:pStyle w:val="Heading1"/>
        <w:keepNext/>
      </w:pPr>
      <w:r>
        <w:t>Executive verdict</w:t>
      </w:r>
    </w:p>
    <w:p>
      <w:pPr>
        <w:spacing w:before="0" w:after="120" w:line="264" w:lineRule="auto"/>
      </w:pPr>
      <w:r>
        <w:rPr>
          <w:rFonts w:ascii="Calibri" w:hAnsi="Calibri"/>
          <w:i w:val="0"/>
          <w:color w:val="313C35"/>
          <w:sz w:val="22"/>
        </w:rPr>
        <w:t>The CRM is now centered on one job: move a potential bankruptcy client from first contact to a complete, firm-reviewed file that can be used to start preparing the petition.</w:t>
      </w:r>
    </w:p>
    <w:p>
      <w:pPr>
        <w:spacing w:before="0" w:after="120" w:line="264" w:lineRule="auto"/>
      </w:pPr>
      <w:r>
        <w:rPr>
          <w:rFonts w:ascii="Calibri" w:hAnsi="Calibri"/>
          <w:i w:val="0"/>
          <w:color w:val="313C35"/>
          <w:sz w:val="22"/>
        </w:rPr>
        <w:t>The record name changes automatically based on what the firm actually has, not on a staff member's guess.</w:t>
      </w:r>
    </w:p>
    <w:tbl>
      <w:tblPr>
        <w:tblW w:type="auto" w:w="0"/>
        <w:jc w:val="left"/>
        <w:tblLayout w:type="fixed"/>
        <w:tblLook w:firstColumn="1" w:firstRow="1" w:lastColumn="0" w:lastRow="0" w:noHBand="0" w:noVBand="1" w:val="04A0"/>
        <w:tblBorders>
          <w:top w:val="single" w:sz="6" w:space="0" w:color="D9E0DA"/>
          <w:left w:val="single" w:sz="6" w:space="0" w:color="D9E0DA"/>
          <w:bottom w:val="single" w:sz="6" w:space="0" w:color="D9E0DA"/>
          <w:right w:val="single" w:sz="6" w:space="0" w:color="D9E0DA"/>
          <w:insideH w:val="single" w:sz="6" w:space="0" w:color="D9E0DA"/>
          <w:insideV w:val="single" w:sz="6" w:space="0" w:color="D9E0DA"/>
        </w:tblBorders>
      </w:tblPr>
      <w:tblGrid>
        <w:gridCol w:w="3120"/>
        <w:gridCol w:w="3120"/>
        <w:gridCol w:w="3120"/>
      </w:tblGrid>
      <w:tr>
        <w:trPr>
          <w:tblHeader w:val="true"/>
        </w:trPr>
        <w:tc>
          <w:tcPr>
            <w:tcW w:type="dxa" w:w="3120"/>
            <w:vAlign w:val="center"/>
            <w:tcMar>
              <w:top w:w="100" w:type="dxa"/>
              <w:start w:w="120" w:type="dxa"/>
              <w:bottom w:w="100" w:type="dxa"/>
              <w:end w:w="120" w:type="dxa"/>
            </w:tcMar>
            <w:shd w:fill="E8F4FD"/>
          </w:tcPr>
          <w:p>
            <w:pPr>
              <w:spacing w:after="0"/>
              <w:jc w:val="center"/>
            </w:pPr>
            <w:r>
              <w:rPr>
                <w:rFonts w:ascii="Calibri" w:hAnsi="Calibri"/>
                <w:b/>
                <w:color w:val="1A73E8"/>
                <w:sz w:val="22"/>
              </w:rPr>
              <w:t>LEAD</w:t>
            </w:r>
          </w:p>
        </w:tc>
        <w:tc>
          <w:tcPr>
            <w:tcW w:type="dxa" w:w="3120"/>
            <w:vAlign w:val="center"/>
            <w:tcMar>
              <w:top w:w="100" w:type="dxa"/>
              <w:start w:w="120" w:type="dxa"/>
              <w:bottom w:w="100" w:type="dxa"/>
              <w:end w:w="120" w:type="dxa"/>
            </w:tcMar>
            <w:shd w:fill="EEF5EF"/>
          </w:tcPr>
          <w:p>
            <w:pPr>
              <w:spacing w:after="0"/>
              <w:jc w:val="center"/>
            </w:pPr>
            <w:r>
              <w:rPr>
                <w:rFonts w:ascii="Calibri" w:hAnsi="Calibri"/>
                <w:b/>
                <w:color w:val="3D5C43"/>
                <w:sz w:val="22"/>
              </w:rPr>
              <w:t>CONTACT</w:t>
            </w:r>
          </w:p>
        </w:tc>
        <w:tc>
          <w:tcPr>
            <w:tcW w:type="dxa" w:w="3120"/>
            <w:vAlign w:val="center"/>
            <w:tcMar>
              <w:top w:w="100" w:type="dxa"/>
              <w:start w:w="120" w:type="dxa"/>
              <w:bottom w:w="100" w:type="dxa"/>
              <w:end w:w="120" w:type="dxa"/>
            </w:tcMar>
            <w:shd w:fill="E0F2F1"/>
          </w:tcPr>
          <w:p>
            <w:pPr>
              <w:spacing w:after="0"/>
              <w:jc w:val="center"/>
            </w:pPr>
            <w:r>
              <w:rPr>
                <w:rFonts w:ascii="Calibri" w:hAnsi="Calibri"/>
                <w:b/>
                <w:color w:val="00695C"/>
                <w:sz w:val="22"/>
              </w:rPr>
              <w:t>MATTER</w:t>
            </w:r>
          </w:p>
        </w:tc>
      </w:tr>
      <w:tr>
        <w:tc>
          <w:tcPr>
            <w:tcW w:type="dxa" w:w="3120"/>
            <w:vAlign w:val="center"/>
            <w:tcMar>
              <w:top w:w="100" w:type="dxa"/>
              <w:start w:w="120" w:type="dxa"/>
              <w:bottom w:w="100" w:type="dxa"/>
              <w:end w:w="120" w:type="dxa"/>
            </w:tcMar>
          </w:tcPr>
          <w:p>
            <w:pPr>
              <w:spacing w:after="0"/>
              <w:jc w:val="center"/>
            </w:pPr>
            <w:r>
              <w:rPr>
                <w:rFonts w:ascii="Calibri" w:hAnsi="Calibri"/>
                <w:color w:val="313C35"/>
                <w:sz w:val="19"/>
              </w:rPr>
              <w:t>No Intake answers received</w:t>
            </w:r>
          </w:p>
        </w:tc>
        <w:tc>
          <w:tcPr>
            <w:tcW w:type="dxa" w:w="3120"/>
            <w:vAlign w:val="center"/>
            <w:tcMar>
              <w:top w:w="100" w:type="dxa"/>
              <w:start w:w="120" w:type="dxa"/>
              <w:bottom w:w="100" w:type="dxa"/>
              <w:end w:w="120" w:type="dxa"/>
            </w:tcMar>
          </w:tcPr>
          <w:p>
            <w:pPr>
              <w:spacing w:after="0"/>
              <w:jc w:val="center"/>
            </w:pPr>
            <w:r>
              <w:rPr>
                <w:rFonts w:ascii="Calibri" w:hAnsi="Calibri"/>
                <w:color w:val="313C35"/>
                <w:sz w:val="19"/>
              </w:rPr>
              <w:t>Some Intake data received; answers or documents still need work</w:t>
            </w:r>
          </w:p>
        </w:tc>
        <w:tc>
          <w:tcPr>
            <w:tcW w:type="dxa" w:w="3120"/>
            <w:vAlign w:val="center"/>
            <w:tcMar>
              <w:top w:w="100" w:type="dxa"/>
              <w:start w:w="120" w:type="dxa"/>
              <w:bottom w:w="100" w:type="dxa"/>
              <w:end w:w="120" w:type="dxa"/>
            </w:tcMar>
          </w:tcPr>
          <w:p>
            <w:pPr>
              <w:spacing w:after="0"/>
              <w:jc w:val="center"/>
            </w:pPr>
            <w:r>
              <w:rPr>
                <w:rFonts w:ascii="Calibri" w:hAnsi="Calibri"/>
                <w:color w:val="313C35"/>
                <w:sz w:val="19"/>
              </w:rPr>
              <w:t>Data and documents complete; ready for petition prep</w:t>
            </w:r>
          </w:p>
        </w:tc>
      </w:tr>
    </w:tbl>
    <w:p>
      <w:pPr>
        <w:spacing w:after="20"/>
      </w:pPr>
    </w:p>
    <w:p>
      <w:pPr>
        <w:pStyle w:val="Heading2"/>
        <w:keepNext/>
      </w:pPr>
      <w:r>
        <w:t>Recommendation</w:t>
      </w:r>
    </w:p>
    <w:p>
      <w:pPr>
        <w:spacing w:before="0" w:after="120" w:line="264" w:lineRule="auto"/>
      </w:pPr>
      <w:r>
        <w:rPr>
          <w:rFonts w:ascii="Calibri" w:hAnsi="Calibri"/>
          <w:i w:val="0"/>
          <w:color w:val="313C35"/>
          <w:sz w:val="22"/>
        </w:rPr>
        <w:t>Use this version as the product-design baseline. Keep improving the Intake-to-petition-prep path; do not add broad case-management or post-filing features yet. First connect this workflow to secure storage, the live Intake, and a controlled pilot.</w:t>
      </w:r>
    </w:p>
    <w:p>
      <w:r>
        <w:br w:type="page"/>
      </w:r>
    </w:p>
    <w:p>
      <w:pPr>
        <w:pStyle w:val="Heading1"/>
        <w:keepNext/>
      </w:pPr>
      <w:r>
        <w:t>What changed</w:t>
      </w:r>
    </w:p>
    <w:p>
      <w:pPr>
        <w:pStyle w:val="ListBullet"/>
        <w:spacing w:before="0" w:after="100" w:line="264" w:lineRule="auto"/>
        <w:ind w:left="720" w:hanging="360"/>
      </w:pPr>
      <w:r>
        <w:rPr>
          <w:rFonts w:ascii="Calibri" w:hAnsi="Calibri"/>
          <w:color w:val="313C35"/>
          <w:sz w:val="22"/>
        </w:rPr>
        <w:t>Matt's four-part structure remains, but the four sections are Dashboard, Leads, Contacts, and Matters.</w:t>
      </w:r>
    </w:p>
    <w:p>
      <w:pPr>
        <w:pStyle w:val="ListBullet"/>
        <w:spacing w:before="0" w:after="100" w:line="264" w:lineRule="auto"/>
        <w:ind w:left="720" w:hanging="360"/>
      </w:pPr>
      <w:r>
        <w:rPr>
          <w:rFonts w:ascii="Calibri" w:hAnsi="Calibri"/>
          <w:color w:val="313C35"/>
          <w:sz w:val="22"/>
        </w:rPr>
        <w:t>Settings remains available as a small utility instead of competing with daily work.</w:t>
      </w:r>
    </w:p>
    <w:p>
      <w:pPr>
        <w:pStyle w:val="ListBullet"/>
        <w:spacing w:before="0" w:after="100" w:line="264" w:lineRule="auto"/>
        <w:ind w:left="720" w:hanging="360"/>
      </w:pPr>
      <w:r>
        <w:rPr>
          <w:rFonts w:ascii="Calibri" w:hAnsi="Calibri"/>
          <w:color w:val="313C35"/>
          <w:sz w:val="22"/>
        </w:rPr>
        <w:t>The Dashboard explains the workflow at a glance and lists the files that need work next.</w:t>
      </w:r>
    </w:p>
    <w:p>
      <w:pPr>
        <w:pStyle w:val="ListBullet"/>
        <w:spacing w:before="0" w:after="100" w:line="264" w:lineRule="auto"/>
        <w:ind w:left="720" w:hanging="360"/>
      </w:pPr>
      <w:r>
        <w:rPr>
          <w:rFonts w:ascii="Calibri" w:hAnsi="Calibri"/>
          <w:color w:val="313C35"/>
          <w:sz w:val="22"/>
        </w:rPr>
        <w:t>Contacts appear ahead of Leads because they are closer to petition prep and contain the most valuable staff work.</w:t>
      </w:r>
    </w:p>
    <w:p>
      <w:pPr>
        <w:pStyle w:val="ListBullet"/>
        <w:spacing w:before="0" w:after="100" w:line="264" w:lineRule="auto"/>
        <w:ind w:left="720" w:hanging="360"/>
      </w:pPr>
      <w:r>
        <w:rPr>
          <w:rFonts w:ascii="Calibri" w:hAnsi="Calibri"/>
          <w:color w:val="313C35"/>
          <w:sz w:val="22"/>
        </w:rPr>
        <w:t>Each Contact shows Intake-data progress, document progress, and one plain-language next step.</w:t>
      </w:r>
    </w:p>
    <w:p>
      <w:pPr>
        <w:pStyle w:val="ListBullet"/>
        <w:spacing w:before="0" w:after="100" w:line="264" w:lineRule="auto"/>
        <w:ind w:left="720" w:hanging="360"/>
      </w:pPr>
      <w:r>
        <w:rPr>
          <w:rFonts w:ascii="Calibri" w:hAnsi="Calibri"/>
          <w:color w:val="313C35"/>
          <w:sz w:val="22"/>
        </w:rPr>
        <w:t>A Contact becomes a Matter only when required data and every document request are complete.</w:t>
      </w:r>
    </w:p>
    <w:p>
      <w:pPr>
        <w:pStyle w:val="ListBullet"/>
        <w:spacing w:before="0" w:after="100" w:line="264" w:lineRule="auto"/>
        <w:ind w:left="720" w:hanging="360"/>
      </w:pPr>
      <w:r>
        <w:rPr>
          <w:rFonts w:ascii="Calibri" w:hAnsi="Calibri"/>
          <w:color w:val="313C35"/>
          <w:sz w:val="22"/>
        </w:rPr>
        <w:t>A Matter returns to Contacts if new activity reopens data or document work.</w:t>
      </w:r>
    </w:p>
    <w:p>
      <w:pPr>
        <w:pStyle w:val="ListBullet"/>
        <w:spacing w:before="0" w:after="100" w:line="264" w:lineRule="auto"/>
        <w:ind w:left="720" w:hanging="360"/>
      </w:pPr>
      <w:r>
        <w:rPr>
          <w:rFonts w:ascii="Calibri" w:hAnsi="Calibri"/>
          <w:color w:val="313C35"/>
          <w:sz w:val="22"/>
        </w:rPr>
        <w:t>Each debtor file has four focused tabs: Overview, Intake Data, Documents, and Activity.</w:t>
      </w:r>
    </w:p>
    <w:p>
      <w:pPr>
        <w:pStyle w:val="ListBullet"/>
        <w:spacing w:before="0" w:after="100" w:line="264" w:lineRule="auto"/>
        <w:ind w:left="720" w:hanging="360"/>
      </w:pPr>
      <w:r>
        <w:rPr>
          <w:rFonts w:ascii="Calibri" w:hAnsi="Calibri"/>
          <w:color w:val="313C35"/>
          <w:sz w:val="22"/>
        </w:rPr>
        <w:t>The document resolved count now includes only approved or excused requests.</w:t>
      </w:r>
    </w:p>
    <w:p>
      <w:pPr>
        <w:pStyle w:val="ListBullet"/>
        <w:spacing w:before="0" w:after="100" w:line="264" w:lineRule="auto"/>
        <w:ind w:left="720" w:hanging="360"/>
      </w:pPr>
      <w:r>
        <w:rPr>
          <w:rFonts w:ascii="Calibri" w:hAnsi="Calibri"/>
          <w:color w:val="313C35"/>
          <w:sz w:val="22"/>
        </w:rPr>
        <w:t>The Contact Document Review queue now comes before the follow-up action and shows debtor/spouse ownership, upload date, and version count.</w:t>
      </w:r>
    </w:p>
    <w:p>
      <w:pPr>
        <w:pStyle w:val="ListBullet"/>
        <w:spacing w:before="0" w:after="100" w:line="264" w:lineRule="auto"/>
        <w:ind w:left="720" w:hanging="360"/>
      </w:pPr>
      <w:r>
        <w:rPr>
          <w:rFonts w:ascii="Calibri" w:hAnsi="Calibri"/>
          <w:color w:val="313C35"/>
          <w:sz w:val="22"/>
        </w:rPr>
        <w:t>Home Base contains only approved or excused Documents; unresolved work no longer appears in the resolved list.</w:t>
      </w:r>
    </w:p>
    <w:p>
      <w:pPr>
        <w:pStyle w:val="ListBullet"/>
        <w:spacing w:before="0" w:after="100" w:line="264" w:lineRule="auto"/>
        <w:ind w:left="720" w:hanging="360"/>
      </w:pPr>
      <w:r>
        <w:rPr>
          <w:rFonts w:ascii="Calibri" w:hAnsi="Calibri"/>
          <w:color w:val="313C35"/>
          <w:sz w:val="22"/>
        </w:rPr>
        <w:t>Replacement uploads preserve history, and every firm decision records the reviewer and a Contact activity event.</w:t>
      </w:r>
    </w:p>
    <w:p>
      <w:pPr>
        <w:pStyle w:val="ListBullet"/>
        <w:spacing w:before="0" w:after="100" w:line="264" w:lineRule="auto"/>
        <w:ind w:left="720" w:hanging="360"/>
      </w:pPr>
      <w:r>
        <w:rPr>
          <w:rFonts w:ascii="Calibri" w:hAnsi="Calibri"/>
          <w:color w:val="313C35"/>
          <w:sz w:val="22"/>
        </w:rPr>
        <w:t>Rejections separate the explanation sent to the client from the firm's internal note.</w:t>
      </w:r>
    </w:p>
    <w:p>
      <w:pPr>
        <w:pStyle w:val="ListBullet"/>
        <w:spacing w:before="0" w:after="100" w:line="264" w:lineRule="auto"/>
        <w:ind w:left="720" w:hanging="360"/>
      </w:pPr>
      <w:r>
        <w:rPr>
          <w:rFonts w:ascii="Calibri" w:hAnsi="Calibri"/>
          <w:color w:val="313C35"/>
          <w:sz w:val="22"/>
        </w:rPr>
        <w:t>AI-flag overrides require a written firm reason.</w:t>
      </w:r>
    </w:p>
    <w:p>
      <w:pPr>
        <w:pStyle w:val="ListBullet"/>
        <w:spacing w:before="0" w:after="100" w:line="264" w:lineRule="auto"/>
        <w:ind w:left="720" w:hanging="360"/>
      </w:pPr>
      <w:r>
        <w:rPr>
          <w:rFonts w:ascii="Calibri" w:hAnsi="Calibri"/>
          <w:color w:val="313C35"/>
          <w:sz w:val="22"/>
        </w:rPr>
        <w:t>Client follow-up remains disabled until all review decisions are finished and the assigned Task is open.</w:t>
      </w:r>
    </w:p>
    <w:p>
      <w:pPr>
        <w:pStyle w:val="ListBullet"/>
        <w:spacing w:before="0" w:after="100" w:line="264" w:lineRule="auto"/>
        <w:ind w:left="720" w:hanging="360"/>
      </w:pPr>
      <w:r>
        <w:rPr>
          <w:rFonts w:ascii="Calibri" w:hAnsi="Calibri"/>
          <w:color w:val="313C35"/>
          <w:sz w:val="22"/>
        </w:rPr>
        <w:t>The follow-up draft is editable, repeat reminders retain prior rejection reasons, and the demo does not overstate portal security.</w:t>
      </w:r>
    </w:p>
    <w:p>
      <w:pPr>
        <w:pStyle w:val="ListBullet"/>
        <w:spacing w:before="0" w:after="100" w:line="264" w:lineRule="auto"/>
        <w:ind w:left="720" w:hanging="360"/>
      </w:pPr>
      <w:r>
        <w:rPr>
          <w:rFonts w:ascii="Calibri" w:hAnsi="Calibri"/>
          <w:color w:val="313C35"/>
          <w:sz w:val="22"/>
        </w:rPr>
        <w:t>Hover explanations and a fake-data-only banner make the demo easier and safer to understand.</w:t>
      </w:r>
    </w:p>
    <w:p>
      <w:pPr>
        <w:jc w:val="center"/>
      </w:pPr>
      <w:r>
        <w:drawing>
          <wp:inline xmlns:a="http://schemas.openxmlformats.org/drawingml/2006/main" xmlns:pic="http://schemas.openxmlformats.org/drawingml/2006/picture">
            <wp:extent cx="5715000" cy="3418234"/>
            <wp:docPr id="1" name="Picture 1" descr="Figure 1. The live Dashboard gives the firm one prioritized work list and makes the lifecycle visible."/>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715000" cy="3418234"/>
                    </a:xfrm>
                    <a:prstGeom prst="rect"/>
                  </pic:spPr>
                </pic:pic>
              </a:graphicData>
            </a:graphic>
          </wp:inline>
        </w:drawing>
      </w:r>
    </w:p>
    <w:p>
      <w:pPr>
        <w:spacing w:before="60" w:after="160"/>
        <w:jc w:val="center"/>
      </w:pPr>
      <w:r>
        <w:rPr>
          <w:rFonts w:ascii="Calibri" w:hAnsi="Calibri"/>
          <w:i/>
          <w:color w:val="667069"/>
          <w:sz w:val="19"/>
        </w:rPr>
        <w:t>Figure 1. The live Dashboard gives the firm one prioritized work list and makes the lifecycle visible.</w:t>
      </w:r>
    </w:p>
    <w:p>
      <w:r>
        <w:br w:type="page"/>
      </w:r>
    </w:p>
    <w:p>
      <w:pPr>
        <w:pStyle w:val="Heading1"/>
        <w:keepNext/>
      </w:pPr>
      <w:r>
        <w:t>The intended daily workflow</w:t>
      </w:r>
    </w:p>
    <w:p>
      <w:pPr>
        <w:pStyle w:val="Heading2"/>
        <w:keepNext/>
      </w:pPr>
      <w:r>
        <w:t>1. Create the Lead</w:t>
      </w:r>
    </w:p>
    <w:p>
      <w:pPr>
        <w:spacing w:before="0" w:after="120" w:line="264" w:lineRule="auto"/>
      </w:pPr>
      <w:r>
        <w:rPr>
          <w:rFonts w:ascii="Calibri" w:hAnsi="Calibri"/>
          <w:i w:val="0"/>
          <w:color w:val="313C35"/>
          <w:sz w:val="22"/>
        </w:rPr>
        <w:t>The firm records the person's name and contact information. The person remains a Lead even if the secure Intake link has been sent, because no answers have been received.</w:t>
      </w:r>
    </w:p>
    <w:p>
      <w:pPr>
        <w:pStyle w:val="Heading2"/>
        <w:keepNext/>
      </w:pPr>
      <w:r>
        <w:t>2. Receive Intake data</w:t>
      </w:r>
    </w:p>
    <w:p>
      <w:pPr>
        <w:spacing w:before="0" w:after="120" w:line="264" w:lineRule="auto"/>
      </w:pPr>
      <w:r>
        <w:rPr>
          <w:rFonts w:ascii="Calibri" w:hAnsi="Calibri"/>
          <w:i w:val="0"/>
          <w:color w:val="313C35"/>
          <w:sz w:val="22"/>
        </w:rPr>
        <w:t>As soon as any Intake answers arrive, the person becomes a Contact. This tells the firm there is now a real file to complete.</w:t>
      </w:r>
    </w:p>
    <w:p>
      <w:pPr>
        <w:pStyle w:val="Heading2"/>
        <w:keepNext/>
      </w:pPr>
      <w:r>
        <w:t>3. Complete the Contact</w:t>
      </w:r>
    </w:p>
    <w:p>
      <w:pPr>
        <w:spacing w:before="0" w:after="120" w:line="264" w:lineRule="auto"/>
      </w:pPr>
      <w:r>
        <w:rPr>
          <w:rFonts w:ascii="Calibri" w:hAnsi="Calibri"/>
          <w:i w:val="0"/>
          <w:color w:val="313C35"/>
          <w:sz w:val="22"/>
        </w:rPr>
        <w:t>The Contact screen separates Intake answers from documents. Staff should always be able to answer: What is missing, and who needs to act next?</w:t>
      </w:r>
    </w:p>
    <w:p>
      <w:pPr>
        <w:pStyle w:val="Heading2"/>
        <w:keepNext/>
      </w:pPr>
      <w:r>
        <w:t>4. Reach petition prep</w:t>
      </w:r>
    </w:p>
    <w:p>
      <w:pPr>
        <w:spacing w:before="0" w:after="120" w:line="264" w:lineRule="auto"/>
      </w:pPr>
      <w:r>
        <w:rPr>
          <w:rFonts w:ascii="Calibri" w:hAnsi="Calibri"/>
          <w:i w:val="0"/>
          <w:color w:val="313C35"/>
          <w:sz w:val="22"/>
        </w:rPr>
        <w:t>When required Intake sections have answers and all document requests are approved or excused, the Contact automatically becomes a Matter. The next action is to begin petition preparation.</w:t>
      </w:r>
    </w:p>
    <w:p>
      <w:pPr>
        <w:jc w:val="center"/>
      </w:pPr>
      <w:r>
        <w:drawing>
          <wp:inline xmlns:a="http://schemas.openxmlformats.org/drawingml/2006/main" xmlns:pic="http://schemas.openxmlformats.org/drawingml/2006/picture">
            <wp:extent cx="5715000" cy="4171861"/>
            <wp:docPr id="2" name="Picture 2" descr="Figure 2. Contact Document Review keeps firm decisions above resolved work and the client chase list."/>
            <wp:cNvGraphicFramePr>
              <a:graphicFrameLocks noChangeAspect="1"/>
            </wp:cNvGraphicFramePr>
            <a:graphic>
              <a:graphicData uri="http://schemas.openxmlformats.org/drawingml/2006/picture">
                <pic:pic>
                  <pic:nvPicPr>
                    <pic:cNvPr id="0" name="contact.png"/>
                    <pic:cNvPicPr/>
                  </pic:nvPicPr>
                  <pic:blipFill>
                    <a:blip r:embed="rId13"/>
                    <a:stretch>
                      <a:fillRect/>
                    </a:stretch>
                  </pic:blipFill>
                  <pic:spPr>
                    <a:xfrm>
                      <a:off x="0" y="0"/>
                      <a:ext cx="5715000" cy="4171861"/>
                    </a:xfrm>
                    <a:prstGeom prst="rect"/>
                  </pic:spPr>
                </pic:pic>
              </a:graphicData>
            </a:graphic>
          </wp:inline>
        </w:drawing>
      </w:r>
    </w:p>
    <w:p>
      <w:pPr>
        <w:spacing w:before="60" w:after="160"/>
        <w:jc w:val="center"/>
      </w:pPr>
      <w:r>
        <w:rPr>
          <w:rFonts w:ascii="Calibri" w:hAnsi="Calibri"/>
          <w:i/>
          <w:color w:val="667069"/>
          <w:sz w:val="19"/>
        </w:rPr>
        <w:t>Figure 2. Contact Document Review keeps firm decisions above resolved work and the client chase list.</w:t>
      </w:r>
    </w:p>
    <w:p>
      <w:pPr>
        <w:pStyle w:val="Heading2"/>
        <w:keepNext/>
      </w:pPr>
      <w:r>
        <w:t>The revised Document decision loop</w:t>
      </w:r>
    </w:p>
    <w:p>
      <w:pPr>
        <w:pStyle w:val="ListBullet"/>
        <w:spacing w:before="0" w:after="100" w:line="264" w:lineRule="auto"/>
        <w:ind w:left="720" w:hanging="360"/>
      </w:pPr>
      <w:r>
        <w:rPr>
          <w:rFonts w:ascii="Calibri" w:hAnsi="Calibri"/>
          <w:color w:val="313C35"/>
          <w:sz w:val="22"/>
        </w:rPr>
        <w:t>Review every new upload or debtor explanation before contacting the client.</w:t>
      </w:r>
    </w:p>
    <w:p>
      <w:pPr>
        <w:pStyle w:val="ListBullet"/>
        <w:spacing w:before="0" w:after="100" w:line="264" w:lineRule="auto"/>
        <w:ind w:left="720" w:hanging="360"/>
      </w:pPr>
      <w:r>
        <w:rPr>
          <w:rFonts w:ascii="Calibri" w:hAnsi="Calibri"/>
          <w:color w:val="313C35"/>
          <w:sz w:val="22"/>
        </w:rPr>
        <w:t>Approve, reject, excuse, or record a reason when overriding an AI flag.</w:t>
      </w:r>
    </w:p>
    <w:p>
      <w:pPr>
        <w:pStyle w:val="ListBullet"/>
        <w:spacing w:before="0" w:after="100" w:line="264" w:lineRule="auto"/>
        <w:ind w:left="720" w:hanging="360"/>
      </w:pPr>
      <w:r>
        <w:rPr>
          <w:rFonts w:ascii="Calibri" w:hAnsi="Calibri"/>
          <w:color w:val="313C35"/>
          <w:sz w:val="22"/>
        </w:rPr>
        <w:t>Keep prior files and decisions in the Contact history instead of replacing evidence silently.</w:t>
      </w:r>
    </w:p>
    <w:p>
      <w:pPr>
        <w:pStyle w:val="ListBullet"/>
        <w:spacing w:before="0" w:after="100" w:line="264" w:lineRule="auto"/>
        <w:ind w:left="720" w:hanging="360"/>
      </w:pPr>
      <w:r>
        <w:rPr>
          <w:rFonts w:ascii="Calibri" w:hAnsi="Calibri"/>
          <w:color w:val="313C35"/>
          <w:sz w:val="22"/>
        </w:rPr>
        <w:t>Open the editable follow-up only when the review queue is empty and the assigned Task is ready.</w:t>
      </w:r>
    </w:p>
    <w:p>
      <w:pPr>
        <w:pStyle w:val="ListBullet"/>
        <w:spacing w:before="0" w:after="100" w:line="264" w:lineRule="auto"/>
        <w:ind w:left="720" w:hanging="360"/>
      </w:pPr>
      <w:r>
        <w:rPr>
          <w:rFonts w:ascii="Calibri" w:hAnsi="Calibri"/>
          <w:color w:val="313C35"/>
          <w:sz w:val="22"/>
        </w:rPr>
        <w:t>Use an expiring, per-Contact portal link in production and record delivery.</w:t>
      </w:r>
    </w:p>
    <w:p>
      <w:pPr>
        <w:pStyle w:val="Heading1"/>
        <w:keepNext/>
      </w:pPr>
      <w:r>
        <w:t>What works well now</w:t>
      </w:r>
    </w:p>
    <w:p>
      <w:pPr>
        <w:spacing w:before="0" w:after="120" w:line="264" w:lineRule="auto"/>
      </w:pPr>
      <w:r>
        <w:rPr>
          <w:rFonts w:ascii="Calibri" w:hAnsi="Calibri"/>
          <w:b/>
          <w:color w:val="313C35"/>
          <w:sz w:val="22"/>
        </w:rPr>
        <w:t>The language matches a small bankruptcy firm.</w:t>
      </w:r>
      <w:r>
        <w:rPr>
          <w:rFonts w:ascii="Calibri" w:hAnsi="Calibri"/>
          <w:i w:val="0"/>
          <w:color w:val="313C35"/>
          <w:sz w:val="22"/>
        </w:rPr>
        <w:t xml:space="preserve"> Lead, Contact, and Matter describe real changes in the file, not vague sales stages.</w:t>
      </w:r>
    </w:p>
    <w:p>
      <w:pPr>
        <w:spacing w:before="0" w:after="120" w:line="264" w:lineRule="auto"/>
      </w:pPr>
      <w:r>
        <w:rPr>
          <w:rFonts w:ascii="Calibri" w:hAnsi="Calibri"/>
          <w:b/>
          <w:color w:val="313C35"/>
          <w:sz w:val="22"/>
        </w:rPr>
        <w:t>The Dashboard answers what to do next.</w:t>
      </w:r>
      <w:r>
        <w:rPr>
          <w:rFonts w:ascii="Calibri" w:hAnsi="Calibri"/>
          <w:i w:val="0"/>
          <w:color w:val="313C35"/>
          <w:sz w:val="22"/>
        </w:rPr>
        <w:t xml:space="preserve"> It shows counts, progress, and one short work list instead of acting as a general control center.</w:t>
      </w:r>
    </w:p>
    <w:p>
      <w:pPr>
        <w:spacing w:before="0" w:after="120" w:line="264" w:lineRule="auto"/>
      </w:pPr>
      <w:r>
        <w:rPr>
          <w:rFonts w:ascii="Calibri" w:hAnsi="Calibri"/>
          <w:b/>
          <w:color w:val="313C35"/>
          <w:sz w:val="22"/>
        </w:rPr>
        <w:t>Data and documents stay separate.</w:t>
      </w:r>
      <w:r>
        <w:rPr>
          <w:rFonts w:ascii="Calibri" w:hAnsi="Calibri"/>
          <w:i w:val="0"/>
          <w:color w:val="313C35"/>
          <w:sz w:val="22"/>
        </w:rPr>
        <w:t xml:space="preserve"> A complete questionnaire does not mean the documents are complete, and complete documents do not cure missing answers.</w:t>
      </w:r>
    </w:p>
    <w:p>
      <w:pPr>
        <w:spacing w:before="0" w:after="120" w:line="264" w:lineRule="auto"/>
      </w:pPr>
      <w:r>
        <w:rPr>
          <w:rFonts w:ascii="Calibri" w:hAnsi="Calibri"/>
          <w:b/>
          <w:color w:val="313C35"/>
          <w:sz w:val="22"/>
        </w:rPr>
        <w:t>A Matter cannot be created too early.</w:t>
      </w:r>
      <w:r>
        <w:rPr>
          <w:rFonts w:ascii="Calibri" w:hAnsi="Calibri"/>
          <w:i w:val="0"/>
          <w:color w:val="313C35"/>
          <w:sz w:val="22"/>
        </w:rPr>
        <w:t xml:space="preserve"> The file must earn the Matter label from actual readiness.</w:t>
      </w:r>
    </w:p>
    <w:p>
      <w:pPr>
        <w:spacing w:before="0" w:after="120" w:line="264" w:lineRule="auto"/>
      </w:pPr>
      <w:r>
        <w:rPr>
          <w:rFonts w:ascii="Calibri" w:hAnsi="Calibri"/>
          <w:b/>
          <w:color w:val="313C35"/>
          <w:sz w:val="22"/>
        </w:rPr>
        <w:t>Firm judgment remains in control.</w:t>
      </w:r>
      <w:r>
        <w:rPr>
          <w:rFonts w:ascii="Calibri" w:hAnsi="Calibri"/>
          <w:i w:val="0"/>
          <w:color w:val="313C35"/>
          <w:sz w:val="22"/>
        </w:rPr>
        <w:t xml:space="preserve"> AI may flag or preliminarily accept an upload, but the firm approves, rejects, excuses, or explains an override.</w:t>
      </w:r>
    </w:p>
    <w:p>
      <w:pPr>
        <w:spacing w:before="0" w:after="120" w:line="264" w:lineRule="auto"/>
      </w:pPr>
      <w:r>
        <w:rPr>
          <w:rFonts w:ascii="Calibri" w:hAnsi="Calibri"/>
          <w:b/>
          <w:color w:val="313C35"/>
          <w:sz w:val="22"/>
        </w:rPr>
        <w:t>The client request follows the review.</w:t>
      </w:r>
      <w:r>
        <w:rPr>
          <w:rFonts w:ascii="Calibri" w:hAnsi="Calibri"/>
          <w:i w:val="0"/>
          <w:color w:val="313C35"/>
          <w:sz w:val="22"/>
        </w:rPr>
        <w:t xml:space="preserve"> A follow-up cannot be sent while a Document decision is unfinished, and the responsible Task must be open.</w:t>
      </w:r>
    </w:p>
    <w:p>
      <w:pPr>
        <w:spacing w:before="0" w:after="120" w:line="264" w:lineRule="auto"/>
      </w:pPr>
      <w:r>
        <w:rPr>
          <w:rFonts w:ascii="Calibri" w:hAnsi="Calibri"/>
          <w:b/>
          <w:color w:val="313C35"/>
          <w:sz w:val="22"/>
        </w:rPr>
        <w:t>Replacement evidence stays visible.</w:t>
      </w:r>
      <w:r>
        <w:rPr>
          <w:rFonts w:ascii="Calibri" w:hAnsi="Calibri"/>
          <w:i w:val="0"/>
          <w:color w:val="313C35"/>
          <w:sz w:val="22"/>
        </w:rPr>
        <w:t xml:space="preserve"> The design now keeps an upload history and shows who made the most recent decision.</w:t>
      </w:r>
    </w:p>
    <w:p>
      <w:pPr>
        <w:spacing w:before="0" w:after="120" w:line="264" w:lineRule="auto"/>
      </w:pPr>
      <w:r>
        <w:rPr>
          <w:rFonts w:ascii="Calibri" w:hAnsi="Calibri"/>
          <w:b/>
          <w:color w:val="313C35"/>
          <w:sz w:val="22"/>
        </w:rPr>
        <w:t>The design stays narrow.</w:t>
      </w:r>
      <w:r>
        <w:rPr>
          <w:rFonts w:ascii="Calibri" w:hAnsi="Calibri"/>
          <w:i w:val="0"/>
          <w:color w:val="313C35"/>
          <w:sz w:val="22"/>
        </w:rPr>
        <w:t xml:space="preserve"> The CRM stops at a clean, reviewable package instead of trying to replace mature petition-preparation software.</w:t>
      </w:r>
    </w:p>
    <w:p>
      <w:pPr>
        <w:pStyle w:val="Heading1"/>
        <w:keepNext/>
      </w:pPr>
      <w:r>
        <w:t>What is not production-ready</w:t>
      </w:r>
    </w:p>
    <w:tbl>
      <w:tblPr>
        <w:tblW w:type="auto" w:w="0"/>
        <w:jc w:val="left"/>
        <w:tblLayout w:type="fixed"/>
        <w:tblLook w:firstColumn="1" w:firstRow="1" w:lastColumn="0" w:lastRow="0" w:noHBand="0" w:noVBand="1" w:val="04A0"/>
        <w:tblBorders>
          <w:top w:val="single" w:sz="6" w:space="0" w:color="D9E0DA"/>
          <w:left w:val="single" w:sz="6" w:space="0" w:color="D9E0DA"/>
          <w:bottom w:val="single" w:sz="6" w:space="0" w:color="D9E0DA"/>
          <w:right w:val="single" w:sz="6" w:space="0" w:color="D9E0DA"/>
          <w:insideH w:val="single" w:sz="6" w:space="0" w:color="D9E0DA"/>
          <w:insideV w:val="single" w:sz="6" w:space="0" w:color="D9E0DA"/>
        </w:tblBorders>
      </w:tblPr>
      <w:tblGrid>
        <w:gridCol w:w="9360"/>
      </w:tblGrid>
      <w:tr>
        <w:trPr>
          <w:tblHeader w:val="true"/>
        </w:trPr>
        <w:tc>
          <w:tcPr>
            <w:tcW w:type="dxa" w:w="9360"/>
            <w:vAlign w:val="center"/>
            <w:tcMar>
              <w:top w:w="100" w:type="dxa"/>
              <w:start w:w="120" w:type="dxa"/>
              <w:bottom w:w="100" w:type="dxa"/>
              <w:end w:w="120" w:type="dxa"/>
            </w:tcMar>
            <w:shd w:fill="FFF8E8"/>
          </w:tcPr>
          <w:p>
            <w:pPr>
              <w:spacing w:after="0"/>
            </w:pPr>
            <w:r>
              <w:rPr>
                <w:rFonts w:ascii="Calibri" w:hAnsi="Calibri"/>
                <w:b/>
                <w:color w:val="9A6B20"/>
                <w:sz w:val="22"/>
              </w:rPr>
              <w:t xml:space="preserve">SAFETY BOUNDARY  </w:t>
            </w:r>
            <w:r>
              <w:rPr>
                <w:rFonts w:ascii="Calibri" w:hAnsi="Calibri"/>
                <w:color w:val="313C35"/>
                <w:sz w:val="22"/>
              </w:rPr>
              <w:t>This demo is appropriate for product review and synthetic testing. It is not ready for real client data.</w:t>
            </w:r>
          </w:p>
        </w:tc>
      </w:tr>
    </w:tbl>
    <w:p>
      <w:pPr>
        <w:spacing w:after="20"/>
      </w:pPr>
    </w:p>
    <w:p>
      <w:pPr>
        <w:pStyle w:val="Heading2"/>
        <w:keepNext/>
      </w:pPr>
      <w:r>
        <w:t>Must be completed before a real-client pilot</w:t>
      </w:r>
    </w:p>
    <w:p>
      <w:pPr>
        <w:pStyle w:val="ListBullet"/>
        <w:spacing w:before="0" w:after="100" w:line="264" w:lineRule="auto"/>
        <w:ind w:left="720" w:hanging="360"/>
      </w:pPr>
      <w:r>
        <w:rPr>
          <w:rFonts w:ascii="Calibri" w:hAnsi="Calibri"/>
          <w:color w:val="313C35"/>
          <w:sz w:val="22"/>
        </w:rPr>
        <w:t>Real accounts and permissions for attorneys, paralegals, and administrators.</w:t>
      </w:r>
    </w:p>
    <w:p>
      <w:pPr>
        <w:pStyle w:val="ListBullet"/>
        <w:spacing w:before="0" w:after="100" w:line="264" w:lineRule="auto"/>
        <w:ind w:left="720" w:hanging="360"/>
      </w:pPr>
      <w:r>
        <w:rPr>
          <w:rFonts w:ascii="Calibri" w:hAnsi="Calibri"/>
          <w:color w:val="313C35"/>
          <w:sz w:val="22"/>
        </w:rPr>
        <w:t>Encrypted client-data and document storage, backups, retention rules, and tested recovery.</w:t>
      </w:r>
    </w:p>
    <w:p>
      <w:pPr>
        <w:pStyle w:val="ListBullet"/>
        <w:spacing w:before="0" w:after="100" w:line="264" w:lineRule="auto"/>
        <w:ind w:left="720" w:hanging="360"/>
      </w:pPr>
      <w:r>
        <w:rPr>
          <w:rFonts w:ascii="Calibri" w:hAnsi="Calibri"/>
          <w:color w:val="313C35"/>
          <w:sz w:val="22"/>
        </w:rPr>
        <w:t>A reliable live Intake connection with retries and visible error handling.</w:t>
      </w:r>
    </w:p>
    <w:p>
      <w:pPr>
        <w:pStyle w:val="ListBullet"/>
        <w:spacing w:before="0" w:after="100" w:line="264" w:lineRule="auto"/>
        <w:ind w:left="720" w:hanging="360"/>
      </w:pPr>
      <w:r>
        <w:rPr>
          <w:rFonts w:ascii="Calibri" w:hAnsi="Calibri"/>
          <w:color w:val="313C35"/>
          <w:sz w:val="22"/>
        </w:rPr>
        <w:t>Real file controls, malware scanning, and dependable preview and download behavior.</w:t>
      </w:r>
    </w:p>
    <w:p>
      <w:pPr>
        <w:pStyle w:val="ListBullet"/>
        <w:spacing w:before="0" w:after="100" w:line="264" w:lineRule="auto"/>
        <w:ind w:left="720" w:hanging="360"/>
      </w:pPr>
      <w:r>
        <w:rPr>
          <w:rFonts w:ascii="Calibri" w:hAnsi="Calibri"/>
          <w:color w:val="313C35"/>
          <w:sz w:val="22"/>
        </w:rPr>
        <w:t>A permanent activity history showing who changed data, approved documents, or sent requests.</w:t>
      </w:r>
    </w:p>
    <w:p>
      <w:pPr>
        <w:pStyle w:val="ListBullet"/>
        <w:spacing w:before="0" w:after="100" w:line="264" w:lineRule="auto"/>
        <w:ind w:left="720" w:hanging="360"/>
      </w:pPr>
      <w:r>
        <w:rPr>
          <w:rFonts w:ascii="Calibri" w:hAnsi="Calibri"/>
          <w:color w:val="313C35"/>
          <w:sz w:val="22"/>
        </w:rPr>
        <w:t>Attorney-approved, versioned rules for chapter-specific required answers and documents.</w:t>
      </w:r>
    </w:p>
    <w:p>
      <w:pPr>
        <w:pStyle w:val="ListBullet"/>
        <w:spacing w:before="0" w:after="100" w:line="264" w:lineRule="auto"/>
        <w:ind w:left="720" w:hanging="360"/>
      </w:pPr>
      <w:r>
        <w:rPr>
          <w:rFonts w:ascii="Calibri" w:hAnsi="Calibri"/>
          <w:color w:val="313C35"/>
          <w:sz w:val="22"/>
        </w:rPr>
        <w:t>End-to-end synthetic testing of submission, partial completion, follow-up, Matter promotion, reopening, and export.</w:t>
      </w:r>
    </w:p>
    <w:p>
      <w:pPr>
        <w:pStyle w:val="Heading2"/>
        <w:keepNext/>
      </w:pPr>
      <w:r>
        <w:t>Important next improvements</w:t>
      </w:r>
    </w:p>
    <w:p>
      <w:pPr>
        <w:pStyle w:val="ListBullet"/>
        <w:spacing w:before="0" w:after="100" w:line="264" w:lineRule="auto"/>
        <w:ind w:left="720" w:hanging="360"/>
      </w:pPr>
      <w:r>
        <w:rPr>
          <w:rFonts w:ascii="Calibri" w:hAnsi="Calibri"/>
          <w:color w:val="313C35"/>
          <w:sz w:val="22"/>
        </w:rPr>
        <w:t>Duplicate detection and safe joint-filer handling.</w:t>
      </w:r>
    </w:p>
    <w:p>
      <w:pPr>
        <w:pStyle w:val="ListBullet"/>
        <w:spacing w:before="0" w:after="100" w:line="264" w:lineRule="auto"/>
        <w:ind w:left="720" w:hanging="360"/>
      </w:pPr>
      <w:r>
        <w:rPr>
          <w:rFonts w:ascii="Calibri" w:hAnsi="Calibri"/>
          <w:color w:val="313C35"/>
          <w:sz w:val="22"/>
        </w:rPr>
        <w:t>Reliable email and text reminders with consent and delivery history.</w:t>
      </w:r>
    </w:p>
    <w:p>
      <w:pPr>
        <w:pStyle w:val="ListBullet"/>
        <w:spacing w:before="0" w:after="100" w:line="264" w:lineRule="auto"/>
        <w:ind w:left="720" w:hanging="360"/>
      </w:pPr>
      <w:r>
        <w:rPr>
          <w:rFonts w:ascii="Calibri" w:hAnsi="Calibri"/>
          <w:color w:val="313C35"/>
          <w:sz w:val="22"/>
        </w:rPr>
        <w:t>Clear ownership so each Contact has a responsible staff member.</w:t>
      </w:r>
    </w:p>
    <w:p>
      <w:pPr>
        <w:pStyle w:val="ListBullet"/>
        <w:spacing w:before="0" w:after="100" w:line="264" w:lineRule="auto"/>
        <w:ind w:left="720" w:hanging="360"/>
      </w:pPr>
      <w:r>
        <w:rPr>
          <w:rFonts w:ascii="Calibri" w:hAnsi="Calibri"/>
          <w:color w:val="313C35"/>
          <w:sz w:val="22"/>
        </w:rPr>
        <w:t>Export into the selected petition-preparation system.</w:t>
      </w:r>
    </w:p>
    <w:p>
      <w:pPr>
        <w:pStyle w:val="ListBullet"/>
        <w:spacing w:before="0" w:after="100" w:line="264" w:lineRule="auto"/>
        <w:ind w:left="720" w:hanging="360"/>
      </w:pPr>
      <w:r>
        <w:rPr>
          <w:rFonts w:ascii="Calibri" w:hAnsi="Calibri"/>
          <w:color w:val="313C35"/>
          <w:sz w:val="22"/>
        </w:rPr>
        <w:t>Accessibility, keyboard, mobile, performance, and browser testing.</w:t>
      </w:r>
    </w:p>
    <w:p>
      <w:pPr>
        <w:pStyle w:val="ListBullet"/>
        <w:spacing w:before="0" w:after="100" w:line="264" w:lineRule="auto"/>
        <w:ind w:left="720" w:hanging="360"/>
      </w:pPr>
      <w:r>
        <w:rPr>
          <w:rFonts w:ascii="Calibri" w:hAnsi="Calibri"/>
          <w:color w:val="313C35"/>
          <w:sz w:val="22"/>
        </w:rPr>
        <w:t>Simple reporting on time waiting for the client versus time waiting for the firm.</w:t>
      </w:r>
    </w:p>
    <w:p>
      <w:pPr>
        <w:pStyle w:val="Heading1"/>
        <w:keepNext/>
      </w:pPr>
      <w:r>
        <w:t>Competitive lessons applied</w:t>
      </w:r>
    </w:p>
    <w:p>
      <w:pPr>
        <w:pStyle w:val="Heading2"/>
        <w:keepNext/>
      </w:pPr>
      <w:r>
        <w:t>Glade</w:t>
      </w:r>
    </w:p>
    <w:p>
      <w:pPr>
        <w:spacing w:before="0" w:after="120" w:line="264" w:lineRule="auto"/>
      </w:pPr>
      <w:r>
        <w:rPr>
          <w:rFonts w:ascii="Calibri" w:hAnsi="Calibri"/>
          <w:i w:val="0"/>
          <w:color w:val="313C35"/>
          <w:sz w:val="22"/>
        </w:rPr>
        <w:t>Glade is the closest comparison because it is designed around bankruptcy work. Its strongest lesson is to let Intake, Documents, communication, and case work build one continuous bankruptcy file instead of forcing staff to re-enter information across disconnected tools.</w:t>
      </w:r>
    </w:p>
    <w:p>
      <w:pPr>
        <w:pStyle w:val="Heading2"/>
        <w:keepNext/>
      </w:pPr>
      <w:r>
        <w:t>Clio</w:t>
      </w:r>
    </w:p>
    <w:p>
      <w:pPr>
        <w:spacing w:before="0" w:after="120" w:line="264" w:lineRule="auto"/>
      </w:pPr>
      <w:r>
        <w:rPr>
          <w:rFonts w:ascii="Calibri" w:hAnsi="Calibri"/>
          <w:i w:val="0"/>
          <w:color w:val="313C35"/>
          <w:sz w:val="22"/>
        </w:rPr>
        <w:t>Clio demonstrates the operating discipline expected from legal software: work belongs to an owner and due date; Documents carry useful metadata; decisions appear in the record history; workflows follow stages; and client sharing uses controlled portal access.</w:t>
      </w:r>
    </w:p>
    <w:p>
      <w:pPr>
        <w:pStyle w:val="Heading2"/>
        <w:keepNext/>
      </w:pPr>
      <w:r>
        <w:t>BK Questionnaire</w:t>
      </w:r>
    </w:p>
    <w:p>
      <w:pPr>
        <w:spacing w:before="0" w:after="120" w:line="264" w:lineRule="auto"/>
      </w:pPr>
      <w:r>
        <w:rPr>
          <w:rFonts w:ascii="Calibri" w:hAnsi="Calibri"/>
          <w:i w:val="0"/>
          <w:color w:val="313C35"/>
          <w:sz w:val="22"/>
        </w:rPr>
        <w:t>Guided mobile Intake, exact document requests, organized uploads, and reminders show the value of making missing information obvious and the next request easy.</w:t>
      </w:r>
    </w:p>
    <w:p>
      <w:pPr>
        <w:pStyle w:val="Heading2"/>
        <w:keepNext/>
      </w:pPr>
      <w:r>
        <w:t>NextChapter / MyChapter</w:t>
      </w:r>
    </w:p>
    <w:p>
      <w:pPr>
        <w:spacing w:before="0" w:after="120" w:line="264" w:lineRule="auto"/>
      </w:pPr>
      <w:r>
        <w:rPr>
          <w:rFonts w:ascii="Calibri" w:hAnsi="Calibri"/>
          <w:i w:val="0"/>
          <w:color w:val="313C35"/>
          <w:sz w:val="22"/>
        </w:rPr>
        <w:t>A clean debtor-portal handoff keeps client entry separate from firm review and avoids redundant entry.</w:t>
      </w:r>
    </w:p>
    <w:p>
      <w:pPr>
        <w:pStyle w:val="Heading2"/>
        <w:keepNext/>
      </w:pPr>
      <w:r>
        <w:t>Jubilee</w:t>
      </w:r>
    </w:p>
    <w:p>
      <w:pPr>
        <w:spacing w:before="0" w:after="120" w:line="264" w:lineRule="auto"/>
      </w:pPr>
      <w:r>
        <w:rPr>
          <w:rFonts w:ascii="Calibri" w:hAnsi="Calibri"/>
          <w:i w:val="0"/>
          <w:color w:val="313C35"/>
          <w:sz w:val="22"/>
        </w:rPr>
        <w:t>Client data, documents, and communications belong on one debtor file rather than across disconnected tools.</w:t>
      </w:r>
    </w:p>
    <w:p>
      <w:pPr>
        <w:pStyle w:val="Heading2"/>
        <w:keepNext/>
      </w:pPr>
      <w:r>
        <w:t>Stretto Best Case</w:t>
      </w:r>
    </w:p>
    <w:p>
      <w:pPr>
        <w:spacing w:before="0" w:after="120" w:line="264" w:lineRule="auto"/>
      </w:pPr>
      <w:r>
        <w:rPr>
          <w:rFonts w:ascii="Calibri" w:hAnsi="Calibri"/>
          <w:i w:val="0"/>
          <w:color w:val="313C35"/>
          <w:sz w:val="22"/>
        </w:rPr>
        <w:t>Mature petition-preparation software already owns forms preparation and filing. BK FastLane should export or integrate later, not reproduce it here.</w:t>
      </w:r>
    </w:p>
    <w:p>
      <w:pPr>
        <w:pStyle w:val="Heading2"/>
        <w:keepNext/>
      </w:pPr>
      <w:r>
        <w:t>What BK FastLane adopted</w:t>
      </w:r>
    </w:p>
    <w:p>
      <w:pPr>
        <w:pStyle w:val="ListBullet"/>
        <w:spacing w:before="0" w:after="100" w:line="264" w:lineRule="auto"/>
        <w:ind w:left="720" w:hanging="360"/>
      </w:pPr>
      <w:r>
        <w:rPr>
          <w:rFonts w:ascii="Calibri" w:hAnsi="Calibri"/>
          <w:color w:val="313C35"/>
          <w:sz w:val="22"/>
        </w:rPr>
        <w:t>From Glade: bankruptcy-specific language, one Contact case file, and automation that handles administration while the firm keeps legal judgment.</w:t>
      </w:r>
    </w:p>
    <w:p>
      <w:pPr>
        <w:pStyle w:val="ListBullet"/>
        <w:spacing w:before="0" w:after="100" w:line="264" w:lineRule="auto"/>
        <w:ind w:left="720" w:hanging="360"/>
      </w:pPr>
      <w:r>
        <w:rPr>
          <w:rFonts w:ascii="Calibri" w:hAnsi="Calibri"/>
          <w:color w:val="313C35"/>
          <w:sz w:val="22"/>
        </w:rPr>
        <w:t>From Clio: assigned Tasks, Document metadata and history, editable communications, controlled client access, and auditable decisions.</w:t>
      </w:r>
    </w:p>
    <w:p>
      <w:pPr>
        <w:pStyle w:val="ListBullet"/>
        <w:spacing w:before="0" w:after="100" w:line="264" w:lineRule="auto"/>
        <w:ind w:left="720" w:hanging="360"/>
      </w:pPr>
      <w:r>
        <w:rPr>
          <w:rFonts w:ascii="Calibri" w:hAnsi="Calibri"/>
          <w:color w:val="313C35"/>
          <w:sz w:val="22"/>
        </w:rPr>
        <w:t>From both: keep the client journey and the firm's work connected, but do not bury a small firm under configuration.</w:t>
      </w:r>
    </w:p>
    <w:tbl>
      <w:tblPr>
        <w:tblW w:type="auto" w:w="0"/>
        <w:jc w:val="left"/>
        <w:tblLayout w:type="fixed"/>
        <w:tblLook w:firstColumn="1" w:firstRow="1" w:lastColumn="0" w:lastRow="0" w:noHBand="0" w:noVBand="1" w:val="04A0"/>
        <w:tblBorders>
          <w:top w:val="single" w:sz="6" w:space="0" w:color="D9E0DA"/>
          <w:left w:val="single" w:sz="6" w:space="0" w:color="D9E0DA"/>
          <w:bottom w:val="single" w:sz="6" w:space="0" w:color="D9E0DA"/>
          <w:right w:val="single" w:sz="6" w:space="0" w:color="D9E0DA"/>
          <w:insideH w:val="single" w:sz="6" w:space="0" w:color="D9E0DA"/>
          <w:insideV w:val="single" w:sz="6" w:space="0" w:color="D9E0DA"/>
        </w:tblBorders>
      </w:tblPr>
      <w:tblGrid>
        <w:gridCol w:w="9360"/>
      </w:tblGrid>
      <w:tr>
        <w:trPr>
          <w:tblHeader w:val="true"/>
        </w:trPr>
        <w:tc>
          <w:tcPr>
            <w:tcW w:type="dxa" w:w="9360"/>
            <w:vAlign w:val="center"/>
            <w:tcMar>
              <w:top w:w="100" w:type="dxa"/>
              <w:start w:w="120" w:type="dxa"/>
              <w:bottom w:w="100" w:type="dxa"/>
              <w:end w:w="120" w:type="dxa"/>
            </w:tcMar>
            <w:shd w:fill="EEF5EF"/>
          </w:tcPr>
          <w:p>
            <w:pPr>
              <w:spacing w:after="0"/>
            </w:pPr>
            <w:r>
              <w:rPr>
                <w:rFonts w:ascii="Calibri" w:hAnsi="Calibri"/>
                <w:b/>
                <w:color w:val="3D5C43"/>
                <w:sz w:val="22"/>
              </w:rPr>
              <w:t xml:space="preserve">BEST POSITIONING  </w:t>
            </w:r>
            <w:r>
              <w:rPr>
                <w:rFonts w:ascii="Calibri" w:hAnsi="Calibri"/>
                <w:color w:val="313C35"/>
                <w:sz w:val="22"/>
              </w:rPr>
              <w:t>The fastest, clearest way for a solo bankruptcy firm to turn debtor information and documents into a complete petition-prep package.</w:t>
            </w:r>
          </w:p>
        </w:tc>
      </w:tr>
    </w:tbl>
    <w:p>
      <w:pPr>
        <w:spacing w:after="20"/>
      </w:pPr>
    </w:p>
    <w:p>
      <w:pPr>
        <w:pStyle w:val="Heading1"/>
        <w:keepNext/>
      </w:pPr>
      <w:r>
        <w:t>Recommended production order</w:t>
      </w:r>
    </w:p>
    <w:p>
      <w:pPr>
        <w:pStyle w:val="Heading2"/>
        <w:keepNext/>
      </w:pPr>
      <w:r>
        <w:t>Phase 1 - Make the current workflow real</w:t>
      </w:r>
    </w:p>
    <w:p>
      <w:pPr>
        <w:pStyle w:val="ListBullet"/>
        <w:spacing w:before="0" w:after="100" w:line="264" w:lineRule="auto"/>
        <w:ind w:left="720" w:hanging="360"/>
      </w:pPr>
      <w:r>
        <w:rPr>
          <w:rFonts w:ascii="Calibri" w:hAnsi="Calibri"/>
          <w:color w:val="313C35"/>
          <w:sz w:val="22"/>
        </w:rPr>
        <w:t>Confirm the Lead, Contact, and Matter rules with the attorneys.</w:t>
      </w:r>
    </w:p>
    <w:p>
      <w:pPr>
        <w:pStyle w:val="ListBullet"/>
        <w:spacing w:before="0" w:after="100" w:line="264" w:lineRule="auto"/>
        <w:ind w:left="720" w:hanging="360"/>
      </w:pPr>
      <w:r>
        <w:rPr>
          <w:rFonts w:ascii="Calibri" w:hAnsi="Calibri"/>
          <w:color w:val="313C35"/>
          <w:sz w:val="22"/>
        </w:rPr>
        <w:t>Define the authoritative Intake and document data model.</w:t>
      </w:r>
    </w:p>
    <w:p>
      <w:pPr>
        <w:pStyle w:val="ListBullet"/>
        <w:spacing w:before="0" w:after="100" w:line="264" w:lineRule="auto"/>
        <w:ind w:left="720" w:hanging="360"/>
      </w:pPr>
      <w:r>
        <w:rPr>
          <w:rFonts w:ascii="Calibri" w:hAnsi="Calibri"/>
          <w:color w:val="313C35"/>
          <w:sz w:val="22"/>
        </w:rPr>
        <w:t>Add authentication, permissions, secure storage, and audit history.</w:t>
      </w:r>
    </w:p>
    <w:p>
      <w:pPr>
        <w:pStyle w:val="ListBullet"/>
        <w:spacing w:before="0" w:after="100" w:line="264" w:lineRule="auto"/>
        <w:ind w:left="720" w:hanging="360"/>
      </w:pPr>
      <w:r>
        <w:rPr>
          <w:rFonts w:ascii="Calibri" w:hAnsi="Calibri"/>
          <w:color w:val="313C35"/>
          <w:sz w:val="22"/>
        </w:rPr>
        <w:t>Connect the live Intake to the CRM.</w:t>
      </w:r>
    </w:p>
    <w:p>
      <w:pPr>
        <w:pStyle w:val="ListBullet"/>
        <w:spacing w:before="0" w:after="100" w:line="264" w:lineRule="auto"/>
        <w:ind w:left="720" w:hanging="360"/>
      </w:pPr>
      <w:r>
        <w:rPr>
          <w:rFonts w:ascii="Calibri" w:hAnsi="Calibri"/>
          <w:color w:val="313C35"/>
          <w:sz w:val="22"/>
        </w:rPr>
        <w:t>Implement the append-only Document bundle, real inline viewer, and complete review/follow-up loop.</w:t>
      </w:r>
    </w:p>
    <w:p>
      <w:pPr>
        <w:pStyle w:val="ListBullet"/>
        <w:spacing w:before="0" w:after="100" w:line="264" w:lineRule="auto"/>
        <w:ind w:left="720" w:hanging="360"/>
      </w:pPr>
      <w:r>
        <w:rPr>
          <w:rFonts w:ascii="Calibri" w:hAnsi="Calibri"/>
          <w:color w:val="313C35"/>
          <w:sz w:val="22"/>
        </w:rPr>
        <w:t>Issue expiring, per-Contact client-portal invitations and record message delivery.</w:t>
      </w:r>
    </w:p>
    <w:p>
      <w:pPr>
        <w:pStyle w:val="Heading2"/>
        <w:keepNext/>
      </w:pPr>
      <w:r>
        <w:t>Phase 2 - Run a controlled synthetic pilot</w:t>
      </w:r>
    </w:p>
    <w:p>
      <w:pPr>
        <w:pStyle w:val="ListBullet"/>
        <w:spacing w:before="0" w:after="100" w:line="264" w:lineRule="auto"/>
        <w:ind w:left="720" w:hanging="360"/>
      </w:pPr>
      <w:r>
        <w:rPr>
          <w:rFonts w:ascii="Calibri" w:hAnsi="Calibri"/>
          <w:color w:val="313C35"/>
          <w:sz w:val="22"/>
        </w:rPr>
        <w:t>Use varied fake clients with missing, inconsistent, and incomplete information.</w:t>
      </w:r>
    </w:p>
    <w:p>
      <w:pPr>
        <w:pStyle w:val="ListBullet"/>
        <w:spacing w:before="0" w:after="100" w:line="264" w:lineRule="auto"/>
        <w:ind w:left="720" w:hanging="360"/>
      </w:pPr>
      <w:r>
        <w:rPr>
          <w:rFonts w:ascii="Calibri" w:hAnsi="Calibri"/>
          <w:color w:val="313C35"/>
          <w:sz w:val="22"/>
        </w:rPr>
        <w:t>Confirm staff can always identify what is missing and who acts next.</w:t>
      </w:r>
    </w:p>
    <w:p>
      <w:pPr>
        <w:pStyle w:val="ListBullet"/>
        <w:spacing w:before="0" w:after="100" w:line="264" w:lineRule="auto"/>
        <w:ind w:left="720" w:hanging="360"/>
      </w:pPr>
      <w:r>
        <w:rPr>
          <w:rFonts w:ascii="Calibri" w:hAnsi="Calibri"/>
          <w:color w:val="313C35"/>
          <w:sz w:val="22"/>
        </w:rPr>
        <w:t>Test Matter promotion and reopening back to Contacts.</w:t>
      </w:r>
    </w:p>
    <w:p>
      <w:pPr>
        <w:pStyle w:val="ListBullet"/>
        <w:spacing w:before="0" w:after="100" w:line="264" w:lineRule="auto"/>
        <w:ind w:left="720" w:hanging="360"/>
      </w:pPr>
      <w:r>
        <w:rPr>
          <w:rFonts w:ascii="Calibri" w:hAnsi="Calibri"/>
          <w:color w:val="313C35"/>
          <w:sz w:val="22"/>
        </w:rPr>
        <w:t>Fix confusion before allowing real client data.</w:t>
      </w:r>
    </w:p>
    <w:p>
      <w:pPr>
        <w:pStyle w:val="Heading2"/>
        <w:keepNext/>
      </w:pPr>
      <w:r>
        <w:t>Phase 3 - Limited real-client pilot</w:t>
      </w:r>
    </w:p>
    <w:p>
      <w:pPr>
        <w:pStyle w:val="ListBullet"/>
        <w:spacing w:before="0" w:after="100" w:line="264" w:lineRule="auto"/>
        <w:ind w:left="720" w:hanging="360"/>
      </w:pPr>
      <w:r>
        <w:rPr>
          <w:rFonts w:ascii="Calibri" w:hAnsi="Calibri"/>
          <w:color w:val="313C35"/>
          <w:sz w:val="22"/>
        </w:rPr>
        <w:t>Select a small number of matters with attorney supervision.</w:t>
      </w:r>
    </w:p>
    <w:p>
      <w:pPr>
        <w:pStyle w:val="ListBullet"/>
        <w:spacing w:before="0" w:after="100" w:line="264" w:lineRule="auto"/>
        <w:ind w:left="720" w:hanging="360"/>
      </w:pPr>
      <w:r>
        <w:rPr>
          <w:rFonts w:ascii="Calibri" w:hAnsi="Calibri"/>
          <w:color w:val="313C35"/>
          <w:sz w:val="22"/>
        </w:rPr>
        <w:t>Keep a manual fallback and verify every export.</w:t>
      </w:r>
    </w:p>
    <w:p>
      <w:pPr>
        <w:pStyle w:val="ListBullet"/>
        <w:spacing w:before="0" w:after="100" w:line="264" w:lineRule="auto"/>
        <w:ind w:left="720" w:hanging="360"/>
      </w:pPr>
      <w:r>
        <w:rPr>
          <w:rFonts w:ascii="Calibri" w:hAnsi="Calibri"/>
          <w:color w:val="313C35"/>
          <w:sz w:val="22"/>
        </w:rPr>
        <w:t>Track errors, staff time, follow-up counts, and time to readiness.</w:t>
      </w:r>
    </w:p>
    <w:p>
      <w:pPr>
        <w:pStyle w:val="ListBullet"/>
        <w:spacing w:before="0" w:after="100" w:line="264" w:lineRule="auto"/>
        <w:ind w:left="720" w:hanging="360"/>
      </w:pPr>
      <w:r>
        <w:rPr>
          <w:rFonts w:ascii="Calibri" w:hAnsi="Calibri"/>
          <w:color w:val="313C35"/>
          <w:sz w:val="22"/>
        </w:rPr>
        <w:t>Expand only after handling is reliable and repeatable.</w:t>
      </w:r>
    </w:p>
    <w:p>
      <w:pPr>
        <w:pStyle w:val="Heading1"/>
        <w:keepNext/>
      </w:pPr>
      <w:r>
        <w:t>Measures that matter</w:t>
      </w:r>
    </w:p>
    <w:p>
      <w:pPr>
        <w:pStyle w:val="ListBullet"/>
        <w:spacing w:before="0" w:after="100" w:line="264" w:lineRule="auto"/>
        <w:ind w:left="720" w:hanging="360"/>
      </w:pPr>
      <w:r>
        <w:rPr>
          <w:rFonts w:ascii="Calibri" w:hAnsi="Calibri"/>
          <w:color w:val="313C35"/>
          <w:sz w:val="22"/>
        </w:rPr>
        <w:t>Time from Lead creation to first Intake response.</w:t>
      </w:r>
    </w:p>
    <w:p>
      <w:pPr>
        <w:pStyle w:val="ListBullet"/>
        <w:spacing w:before="0" w:after="100" w:line="264" w:lineRule="auto"/>
        <w:ind w:left="720" w:hanging="360"/>
      </w:pPr>
      <w:r>
        <w:rPr>
          <w:rFonts w:ascii="Calibri" w:hAnsi="Calibri"/>
          <w:color w:val="313C35"/>
          <w:sz w:val="22"/>
        </w:rPr>
        <w:t>Time from Contact creation to Matter readiness.</w:t>
      </w:r>
    </w:p>
    <w:p>
      <w:pPr>
        <w:pStyle w:val="ListBullet"/>
        <w:spacing w:before="0" w:after="100" w:line="264" w:lineRule="auto"/>
        <w:ind w:left="720" w:hanging="360"/>
      </w:pPr>
      <w:r>
        <w:rPr>
          <w:rFonts w:ascii="Calibri" w:hAnsi="Calibri"/>
          <w:color w:val="313C35"/>
          <w:sz w:val="22"/>
        </w:rPr>
        <w:t>Missing Intake sections per Contact.</w:t>
      </w:r>
    </w:p>
    <w:p>
      <w:pPr>
        <w:pStyle w:val="ListBullet"/>
        <w:spacing w:before="0" w:after="100" w:line="264" w:lineRule="auto"/>
        <w:ind w:left="720" w:hanging="360"/>
      </w:pPr>
      <w:r>
        <w:rPr>
          <w:rFonts w:ascii="Calibri" w:hAnsi="Calibri"/>
          <w:color w:val="313C35"/>
          <w:sz w:val="22"/>
        </w:rPr>
        <w:t>Documents waiting on the client versus waiting on the firm.</w:t>
      </w:r>
    </w:p>
    <w:p>
      <w:pPr>
        <w:pStyle w:val="ListBullet"/>
        <w:spacing w:before="0" w:after="100" w:line="264" w:lineRule="auto"/>
        <w:ind w:left="720" w:hanging="360"/>
      </w:pPr>
      <w:r>
        <w:rPr>
          <w:rFonts w:ascii="Calibri" w:hAnsi="Calibri"/>
          <w:color w:val="313C35"/>
          <w:sz w:val="22"/>
        </w:rPr>
        <w:t>Follow-ups required per Contact.</w:t>
      </w:r>
    </w:p>
    <w:p>
      <w:pPr>
        <w:pStyle w:val="ListBullet"/>
        <w:spacing w:before="0" w:after="100" w:line="264" w:lineRule="auto"/>
        <w:ind w:left="720" w:hanging="360"/>
      </w:pPr>
      <w:r>
        <w:rPr>
          <w:rFonts w:ascii="Calibri" w:hAnsi="Calibri"/>
          <w:color w:val="313C35"/>
          <w:sz w:val="22"/>
        </w:rPr>
        <w:t>Matters reopened because work was incomplete.</w:t>
      </w:r>
    </w:p>
    <w:p>
      <w:pPr>
        <w:pStyle w:val="ListBullet"/>
        <w:spacing w:before="0" w:after="100" w:line="264" w:lineRule="auto"/>
        <w:ind w:left="720" w:hanging="360"/>
      </w:pPr>
      <w:r>
        <w:rPr>
          <w:rFonts w:ascii="Calibri" w:hAnsi="Calibri"/>
          <w:color w:val="313C35"/>
          <w:sz w:val="22"/>
        </w:rPr>
        <w:t>Staff time spent per file before petition prep.</w:t>
      </w:r>
    </w:p>
    <w:p>
      <w:pPr>
        <w:pStyle w:val="Heading1"/>
        <w:keepNext/>
      </w:pPr>
      <w:r>
        <w:t>Go / no-go recommendation</w:t>
      </w:r>
    </w:p>
    <w:tbl>
      <w:tblPr>
        <w:tblW w:type="auto" w:w="0"/>
        <w:jc w:val="left"/>
        <w:tblLayout w:type="fixed"/>
        <w:tblLook w:firstColumn="1" w:firstRow="1" w:lastColumn="0" w:lastRow="0" w:noHBand="0" w:noVBand="1" w:val="04A0"/>
        <w:tblBorders>
          <w:top w:val="single" w:sz="6" w:space="0" w:color="D9E0DA"/>
          <w:left w:val="single" w:sz="6" w:space="0" w:color="D9E0DA"/>
          <w:bottom w:val="single" w:sz="6" w:space="0" w:color="D9E0DA"/>
          <w:right w:val="single" w:sz="6" w:space="0" w:color="D9E0DA"/>
          <w:insideH w:val="single" w:sz="6" w:space="0" w:color="D9E0DA"/>
          <w:insideV w:val="single" w:sz="6" w:space="0" w:color="D9E0DA"/>
        </w:tblBorders>
      </w:tblPr>
      <w:tblGrid>
        <w:gridCol w:w="4680"/>
        <w:gridCol w:w="4680"/>
      </w:tblGrid>
      <w:tr>
        <w:trPr>
          <w:tblHeader w:val="true"/>
        </w:trPr>
        <w:tc>
          <w:tcPr>
            <w:tcW w:type="dxa" w:w="7000"/>
            <w:vAlign w:val="center"/>
            <w:tcMar>
              <w:top w:w="100" w:type="dxa"/>
              <w:start w:w="120" w:type="dxa"/>
              <w:bottom w:w="100" w:type="dxa"/>
              <w:end w:w="120" w:type="dxa"/>
            </w:tcMar>
            <w:shd w:fill="F2F4F3"/>
          </w:tcPr>
          <w:p>
            <w:pPr>
              <w:spacing w:after="0"/>
            </w:pPr>
            <w:r>
              <w:rPr>
                <w:rFonts w:ascii="Calibri" w:hAnsi="Calibri"/>
                <w:b/>
                <w:color w:val="313C35"/>
                <w:sz w:val="21"/>
              </w:rPr>
              <w:t>Share this fake-data demo</w:t>
            </w:r>
          </w:p>
        </w:tc>
        <w:tc>
          <w:tcPr>
            <w:tcW w:type="dxa" w:w="2360"/>
            <w:vAlign w:val="center"/>
            <w:tcMar>
              <w:top w:w="100" w:type="dxa"/>
              <w:start w:w="120" w:type="dxa"/>
              <w:bottom w:w="100" w:type="dxa"/>
              <w:end w:w="120" w:type="dxa"/>
            </w:tcMar>
            <w:shd w:fill="F2F4F3"/>
          </w:tcPr>
          <w:p>
            <w:pPr>
              <w:spacing w:after="0"/>
              <w:jc w:val="center"/>
            </w:pPr>
            <w:r>
              <w:rPr>
                <w:rFonts w:ascii="Calibri" w:hAnsi="Calibri"/>
                <w:b/>
                <w:color w:val="3D5C43"/>
                <w:sz w:val="21"/>
              </w:rPr>
              <w:t>YES</w:t>
            </w:r>
          </w:p>
        </w:tc>
      </w:tr>
      <w:tr>
        <w:tc>
          <w:tcPr>
            <w:tcW w:type="dxa" w:w="7000"/>
            <w:vAlign w:val="center"/>
            <w:tcMar>
              <w:top w:w="100" w:type="dxa"/>
              <w:start w:w="120" w:type="dxa"/>
              <w:bottom w:w="100" w:type="dxa"/>
              <w:end w:w="120" w:type="dxa"/>
            </w:tcMar>
          </w:tcPr>
          <w:p>
            <w:pPr>
              <w:spacing w:after="0"/>
            </w:pPr>
            <w:r>
              <w:rPr>
                <w:rFonts w:ascii="Calibri" w:hAnsi="Calibri"/>
                <w:b/>
                <w:color w:val="313C35"/>
                <w:sz w:val="21"/>
              </w:rPr>
              <w:t>Use this design as the CRM baseline</w:t>
            </w:r>
          </w:p>
        </w:tc>
        <w:tc>
          <w:tcPr>
            <w:tcW w:type="dxa" w:w="2360"/>
            <w:vAlign w:val="center"/>
            <w:tcMar>
              <w:top w:w="100" w:type="dxa"/>
              <w:start w:w="120" w:type="dxa"/>
              <w:bottom w:w="100" w:type="dxa"/>
              <w:end w:w="120" w:type="dxa"/>
            </w:tcMar>
          </w:tcPr>
          <w:p>
            <w:pPr>
              <w:spacing w:after="0"/>
              <w:jc w:val="center"/>
            </w:pPr>
            <w:r>
              <w:rPr>
                <w:rFonts w:ascii="Calibri" w:hAnsi="Calibri"/>
                <w:b/>
                <w:color w:val="3D5C43"/>
                <w:sz w:val="21"/>
              </w:rPr>
              <w:t>YES</w:t>
            </w:r>
          </w:p>
        </w:tc>
      </w:tr>
      <w:tr>
        <w:tc>
          <w:tcPr>
            <w:tcW w:type="dxa" w:w="7000"/>
            <w:vAlign w:val="center"/>
            <w:tcMar>
              <w:top w:w="100" w:type="dxa"/>
              <w:start w:w="120" w:type="dxa"/>
              <w:bottom w:w="100" w:type="dxa"/>
              <w:end w:w="120" w:type="dxa"/>
            </w:tcMar>
            <w:shd w:fill="F2F4F3"/>
          </w:tcPr>
          <w:p>
            <w:pPr>
              <w:spacing w:after="0"/>
            </w:pPr>
            <w:r>
              <w:rPr>
                <w:rFonts w:ascii="Calibri" w:hAnsi="Calibri"/>
                <w:b/>
                <w:color w:val="313C35"/>
                <w:sz w:val="21"/>
              </w:rPr>
              <w:t>Begin a controlled synthetic pilot</w:t>
            </w:r>
          </w:p>
        </w:tc>
        <w:tc>
          <w:tcPr>
            <w:tcW w:type="dxa" w:w="2360"/>
            <w:vAlign w:val="center"/>
            <w:tcMar>
              <w:top w:w="100" w:type="dxa"/>
              <w:start w:w="120" w:type="dxa"/>
              <w:bottom w:w="100" w:type="dxa"/>
              <w:end w:w="120" w:type="dxa"/>
            </w:tcMar>
            <w:shd w:fill="F2F4F3"/>
          </w:tcPr>
          <w:p>
            <w:pPr>
              <w:spacing w:after="0"/>
              <w:jc w:val="center"/>
            </w:pPr>
            <w:r>
              <w:rPr>
                <w:rFonts w:ascii="Calibri" w:hAnsi="Calibri"/>
                <w:b/>
                <w:color w:val="3D5C43"/>
                <w:sz w:val="21"/>
              </w:rPr>
              <w:t>YES</w:t>
            </w:r>
          </w:p>
        </w:tc>
      </w:tr>
      <w:tr>
        <w:tc>
          <w:tcPr>
            <w:tcW w:type="dxa" w:w="7000"/>
            <w:vAlign w:val="center"/>
            <w:tcMar>
              <w:top w:w="100" w:type="dxa"/>
              <w:start w:w="120" w:type="dxa"/>
              <w:bottom w:w="100" w:type="dxa"/>
              <w:end w:w="120" w:type="dxa"/>
            </w:tcMar>
          </w:tcPr>
          <w:p>
            <w:pPr>
              <w:spacing w:after="0"/>
            </w:pPr>
            <w:r>
              <w:rPr>
                <w:rFonts w:ascii="Calibri" w:hAnsi="Calibri"/>
                <w:b/>
                <w:color w:val="313C35"/>
                <w:sz w:val="21"/>
              </w:rPr>
              <w:t>Store real client information today</w:t>
            </w:r>
          </w:p>
        </w:tc>
        <w:tc>
          <w:tcPr>
            <w:tcW w:type="dxa" w:w="2360"/>
            <w:vAlign w:val="center"/>
            <w:tcMar>
              <w:top w:w="100" w:type="dxa"/>
              <w:start w:w="120" w:type="dxa"/>
              <w:bottom w:w="100" w:type="dxa"/>
              <w:end w:w="120" w:type="dxa"/>
            </w:tcMar>
          </w:tcPr>
          <w:p>
            <w:pPr>
              <w:spacing w:after="0"/>
              <w:jc w:val="center"/>
            </w:pPr>
            <w:r>
              <w:rPr>
                <w:rFonts w:ascii="Calibri" w:hAnsi="Calibri"/>
                <w:b/>
                <w:color w:val="9B1C1C"/>
                <w:sz w:val="21"/>
              </w:rPr>
              <w:t>NO</w:t>
            </w:r>
          </w:p>
        </w:tc>
      </w:tr>
      <w:tr>
        <w:tc>
          <w:tcPr>
            <w:tcW w:type="dxa" w:w="7000"/>
            <w:vAlign w:val="center"/>
            <w:tcMar>
              <w:top w:w="100" w:type="dxa"/>
              <w:start w:w="120" w:type="dxa"/>
              <w:bottom w:w="100" w:type="dxa"/>
              <w:end w:w="120" w:type="dxa"/>
            </w:tcMar>
            <w:shd w:fill="F2F4F3"/>
          </w:tcPr>
          <w:p>
            <w:pPr>
              <w:spacing w:after="0"/>
            </w:pPr>
            <w:r>
              <w:rPr>
                <w:rFonts w:ascii="Calibri" w:hAnsi="Calibri"/>
                <w:b/>
                <w:color w:val="313C35"/>
                <w:sz w:val="21"/>
              </w:rPr>
              <w:t>Sell it as production-ready software today</w:t>
            </w:r>
          </w:p>
        </w:tc>
        <w:tc>
          <w:tcPr>
            <w:tcW w:type="dxa" w:w="2360"/>
            <w:vAlign w:val="center"/>
            <w:tcMar>
              <w:top w:w="100" w:type="dxa"/>
              <w:start w:w="120" w:type="dxa"/>
              <w:bottom w:w="100" w:type="dxa"/>
              <w:end w:w="120" w:type="dxa"/>
            </w:tcMar>
            <w:shd w:fill="F2F4F3"/>
          </w:tcPr>
          <w:p>
            <w:pPr>
              <w:spacing w:after="0"/>
              <w:jc w:val="center"/>
            </w:pPr>
            <w:r>
              <w:rPr>
                <w:rFonts w:ascii="Calibri" w:hAnsi="Calibri"/>
                <w:b/>
                <w:color w:val="9B1C1C"/>
                <w:sz w:val="21"/>
              </w:rPr>
              <w:t>NO</w:t>
            </w:r>
          </w:p>
        </w:tc>
      </w:tr>
    </w:tbl>
    <w:p>
      <w:pPr>
        <w:spacing w:after="20"/>
      </w:pPr>
    </w:p>
    <w:p>
      <w:pPr>
        <w:spacing w:before="0" w:after="120" w:line="264" w:lineRule="auto"/>
      </w:pPr>
      <w:r>
        <w:rPr>
          <w:rFonts w:ascii="Calibri" w:hAnsi="Calibri"/>
          <w:i w:val="0"/>
          <w:color w:val="313C35"/>
          <w:sz w:val="22"/>
        </w:rPr>
        <w:t>The next value will come from making this exact workflow secure, reliable, and connected - not from adding more screens.</w:t>
      </w:r>
    </w:p>
    <w:p>
      <w:pPr>
        <w:pStyle w:val="Heading1"/>
        <w:keepNext/>
      </w:pPr>
      <w:r>
        <w:t>Build and verification record</w:t>
      </w:r>
    </w:p>
    <w:tbl>
      <w:tblPr>
        <w:tblW w:type="auto" w:w="0"/>
        <w:jc w:val="left"/>
        <w:tblLayout w:type="fixed"/>
        <w:tblLook w:firstColumn="1" w:firstRow="1" w:lastColumn="0" w:lastRow="0" w:noHBand="0" w:noVBand="1" w:val="04A0"/>
        <w:tblBorders>
          <w:top w:val="single" w:sz="6" w:space="0" w:color="D9E0DA"/>
          <w:left w:val="single" w:sz="6" w:space="0" w:color="D9E0DA"/>
          <w:bottom w:val="single" w:sz="6" w:space="0" w:color="D9E0DA"/>
          <w:right w:val="single" w:sz="6" w:space="0" w:color="D9E0DA"/>
          <w:insideH w:val="single" w:sz="6" w:space="0" w:color="D9E0DA"/>
          <w:insideV w:val="single" w:sz="6" w:space="0" w:color="D9E0DA"/>
        </w:tblBorders>
      </w:tblPr>
      <w:tblGrid>
        <w:gridCol w:w="4680"/>
        <w:gridCol w:w="4680"/>
      </w:tblGrid>
      <w:tr>
        <w:trPr>
          <w:tblHeader w:val="true"/>
        </w:trPr>
        <w:tc>
          <w:tcPr>
            <w:tcW w:type="dxa" w:w="2700"/>
            <w:vAlign w:val="center"/>
            <w:tcMar>
              <w:top w:w="100" w:type="dxa"/>
              <w:start w:w="120" w:type="dxa"/>
              <w:bottom w:w="100" w:type="dxa"/>
              <w:end w:w="120" w:type="dxa"/>
            </w:tcMar>
            <w:shd w:fill="F2F4F3"/>
          </w:tcPr>
          <w:p>
            <w:pPr>
              <w:spacing w:after="0"/>
            </w:pPr>
            <w:r>
              <w:rPr>
                <w:rFonts w:ascii="Calibri" w:hAnsi="Calibri"/>
                <w:b/>
                <w:color w:val="313C35"/>
                <w:sz w:val="19"/>
              </w:rPr>
              <w:t>Matt's unchanged base</w:t>
            </w:r>
          </w:p>
        </w:tc>
        <w:tc>
          <w:tcPr>
            <w:tcW w:type="dxa" w:w="6660"/>
            <w:vAlign w:val="center"/>
            <w:tcMar>
              <w:top w:w="100" w:type="dxa"/>
              <w:start w:w="120" w:type="dxa"/>
              <w:bottom w:w="100" w:type="dxa"/>
              <w:end w:w="120" w:type="dxa"/>
            </w:tcMar>
            <w:shd w:fill="F2F4F3"/>
          </w:tcPr>
          <w:p>
            <w:pPr>
              <w:spacing w:after="0"/>
            </w:pPr>
            <w:r>
              <w:rPr>
                <w:rFonts w:ascii="Calibri" w:hAnsi="Calibri"/>
                <w:color w:val="667069"/>
                <w:sz w:val="19"/>
              </w:rPr>
              <w:t>a94e1793dac7d08d8e1632f74c2b05b1a9a4a517</w:t>
            </w:r>
          </w:p>
        </w:tc>
      </w:tr>
      <w:tr>
        <w:tc>
          <w:tcPr>
            <w:tcW w:type="dxa" w:w="2700"/>
            <w:vAlign w:val="center"/>
            <w:tcMar>
              <w:top w:w="100" w:type="dxa"/>
              <w:start w:w="120" w:type="dxa"/>
              <w:bottom w:w="100" w:type="dxa"/>
              <w:end w:w="120" w:type="dxa"/>
            </w:tcMar>
          </w:tcPr>
          <w:p>
            <w:pPr>
              <w:spacing w:after="0"/>
            </w:pPr>
            <w:r>
              <w:rPr>
                <w:rFonts w:ascii="Calibri" w:hAnsi="Calibri"/>
                <w:b/>
                <w:color w:val="313C35"/>
                <w:sz w:val="19"/>
              </w:rPr>
              <w:t>Jimmy feature branch</w:t>
            </w:r>
          </w:p>
        </w:tc>
        <w:tc>
          <w:tcPr>
            <w:tcW w:type="dxa" w:w="6660"/>
            <w:vAlign w:val="center"/>
            <w:tcMar>
              <w:top w:w="100" w:type="dxa"/>
              <w:start w:w="120" w:type="dxa"/>
              <w:bottom w:w="100" w:type="dxa"/>
              <w:end w:w="120" w:type="dxa"/>
            </w:tcMar>
          </w:tcPr>
          <w:p>
            <w:pPr>
              <w:spacing w:after="0"/>
            </w:pPr>
            <w:r>
              <w:rPr>
                <w:rFonts w:ascii="Calibri" w:hAnsi="Calibri"/>
                <w:color w:val="667069"/>
                <w:sz w:val="19"/>
              </w:rPr>
              <w:t>codex/jimmy-contact-to-petition-ready</w:t>
            </w:r>
          </w:p>
        </w:tc>
      </w:tr>
      <w:tr>
        <w:tc>
          <w:tcPr>
            <w:tcW w:type="dxa" w:w="2700"/>
            <w:vAlign w:val="center"/>
            <w:tcMar>
              <w:top w:w="100" w:type="dxa"/>
              <w:start w:w="120" w:type="dxa"/>
              <w:bottom w:w="100" w:type="dxa"/>
              <w:end w:w="120" w:type="dxa"/>
            </w:tcMar>
            <w:shd w:fill="F2F4F3"/>
          </w:tcPr>
          <w:p>
            <w:pPr>
              <w:spacing w:after="0"/>
            </w:pPr>
            <w:r>
              <w:rPr>
                <w:rFonts w:ascii="Calibri" w:hAnsi="Calibri"/>
                <w:b/>
                <w:color w:val="313C35"/>
                <w:sz w:val="19"/>
              </w:rPr>
              <w:t>CRM feature commit</w:t>
            </w:r>
          </w:p>
        </w:tc>
        <w:tc>
          <w:tcPr>
            <w:tcW w:type="dxa" w:w="6660"/>
            <w:vAlign w:val="center"/>
            <w:tcMar>
              <w:top w:w="100" w:type="dxa"/>
              <w:start w:w="120" w:type="dxa"/>
              <w:bottom w:w="100" w:type="dxa"/>
              <w:end w:w="120" w:type="dxa"/>
            </w:tcMar>
            <w:shd w:fill="F2F4F3"/>
          </w:tcPr>
          <w:p>
            <w:pPr>
              <w:spacing w:after="0"/>
            </w:pPr>
            <w:r>
              <w:rPr>
                <w:rFonts w:ascii="Calibri" w:hAnsi="Calibri"/>
                <w:color w:val="667069"/>
                <w:sz w:val="19"/>
              </w:rPr>
              <w:t>See current head of codex/jimmy-contact-to-petition-ready</w:t>
            </w:r>
          </w:p>
        </w:tc>
      </w:tr>
      <w:tr>
        <w:tc>
          <w:tcPr>
            <w:tcW w:type="dxa" w:w="2700"/>
            <w:vAlign w:val="center"/>
            <w:tcMar>
              <w:top w:w="100" w:type="dxa"/>
              <w:start w:w="120" w:type="dxa"/>
              <w:bottom w:w="100" w:type="dxa"/>
              <w:end w:w="120" w:type="dxa"/>
            </w:tcMar>
          </w:tcPr>
          <w:p>
            <w:pPr>
              <w:spacing w:after="0"/>
            </w:pPr>
            <w:r>
              <w:rPr>
                <w:rFonts w:ascii="Calibri" w:hAnsi="Calibri"/>
                <w:b/>
                <w:color w:val="313C35"/>
                <w:sz w:val="19"/>
              </w:rPr>
              <w:t>GitHub Pages branch</w:t>
            </w:r>
          </w:p>
        </w:tc>
        <w:tc>
          <w:tcPr>
            <w:tcW w:type="dxa" w:w="6660"/>
            <w:vAlign w:val="center"/>
            <w:tcMar>
              <w:top w:w="100" w:type="dxa"/>
              <w:start w:w="120" w:type="dxa"/>
              <w:bottom w:w="100" w:type="dxa"/>
              <w:end w:w="120" w:type="dxa"/>
            </w:tcMar>
          </w:tcPr>
          <w:p>
            <w:pPr>
              <w:spacing w:after="0"/>
            </w:pPr>
            <w:r>
              <w:rPr>
                <w:rFonts w:ascii="Calibri" w:hAnsi="Calibri"/>
                <w:color w:val="667069"/>
                <w:sz w:val="19"/>
              </w:rPr>
              <w:t>Jimmy</w:t>
            </w:r>
          </w:p>
        </w:tc>
      </w:tr>
      <w:tr>
        <w:tc>
          <w:tcPr>
            <w:tcW w:type="dxa" w:w="2700"/>
            <w:vAlign w:val="center"/>
            <w:tcMar>
              <w:top w:w="100" w:type="dxa"/>
              <w:start w:w="120" w:type="dxa"/>
              <w:bottom w:w="100" w:type="dxa"/>
              <w:end w:w="120" w:type="dxa"/>
            </w:tcMar>
            <w:shd w:fill="F2F4F3"/>
          </w:tcPr>
          <w:p>
            <w:pPr>
              <w:spacing w:after="0"/>
            </w:pPr>
            <w:r>
              <w:rPr>
                <w:rFonts w:ascii="Calibri" w:hAnsi="Calibri"/>
                <w:b/>
                <w:color w:val="313C35"/>
                <w:sz w:val="19"/>
              </w:rPr>
              <w:t>Live verification</w:t>
            </w:r>
          </w:p>
        </w:tc>
        <w:tc>
          <w:tcPr>
            <w:tcW w:type="dxa" w:w="6660"/>
            <w:vAlign w:val="center"/>
            <w:tcMar>
              <w:top w:w="100" w:type="dxa"/>
              <w:start w:w="120" w:type="dxa"/>
              <w:bottom w:w="100" w:type="dxa"/>
              <w:end w:w="120" w:type="dxa"/>
            </w:tcMar>
            <w:shd w:fill="F2F4F3"/>
          </w:tcPr>
          <w:p>
            <w:pPr>
              <w:spacing w:after="0"/>
            </w:pPr>
            <w:r>
              <w:rPr>
                <w:rFonts w:ascii="Calibri" w:hAnsi="Calibri"/>
                <w:color w:val="667069"/>
                <w:sz w:val="19"/>
              </w:rPr>
              <w:t>Lifecycle checks, JSX parsing, four rendered routes, Pages build, HTTP response, and browser inspection</w:t>
            </w:r>
          </w:p>
        </w:tc>
      </w:tr>
      <w:tr>
        <w:tc>
          <w:tcPr>
            <w:tcW w:type="dxa" w:w="2700"/>
            <w:vAlign w:val="center"/>
            <w:tcMar>
              <w:top w:w="100" w:type="dxa"/>
              <w:start w:w="120" w:type="dxa"/>
              <w:bottom w:w="100" w:type="dxa"/>
              <w:end w:w="120" w:type="dxa"/>
            </w:tcMar>
          </w:tcPr>
          <w:p>
            <w:pPr>
              <w:spacing w:after="0"/>
            </w:pPr>
            <w:r>
              <w:rPr>
                <w:rFonts w:ascii="Calibri" w:hAnsi="Calibri"/>
                <w:b/>
                <w:color w:val="313C35"/>
                <w:sz w:val="19"/>
              </w:rPr>
              <w:t>Matt's branch</w:t>
            </w:r>
          </w:p>
        </w:tc>
        <w:tc>
          <w:tcPr>
            <w:tcW w:type="dxa" w:w="6660"/>
            <w:vAlign w:val="center"/>
            <w:tcMar>
              <w:top w:w="100" w:type="dxa"/>
              <w:start w:w="120" w:type="dxa"/>
              <w:bottom w:w="100" w:type="dxa"/>
              <w:end w:w="120" w:type="dxa"/>
            </w:tcMar>
          </w:tcPr>
          <w:p>
            <w:pPr>
              <w:spacing w:after="0"/>
            </w:pPr>
            <w:r>
              <w:rPr>
                <w:rFonts w:ascii="Calibri" w:hAnsi="Calibri"/>
                <w:color w:val="667069"/>
                <w:sz w:val="19"/>
              </w:rPr>
              <w:t>Not changed</w:t>
            </w:r>
          </w:p>
        </w:tc>
      </w:tr>
    </w:tbl>
    <w:p>
      <w:pPr>
        <w:spacing w:after="20"/>
      </w:pPr>
    </w:p>
    <w:p>
      <w:r>
        <w:br w:type="page"/>
      </w:r>
    </w:p>
    <w:p>
      <w:pPr>
        <w:pStyle w:val="Heading1"/>
        <w:keepNext/>
      </w:pPr>
      <w:r>
        <w:t>Sources</w:t>
      </w:r>
    </w:p>
    <w:p>
      <w:pPr>
        <w:pStyle w:val="ListBullet"/>
        <w:spacing w:before="0" w:after="60"/>
        <w:ind w:left="720" w:hanging="360"/>
      </w:pPr>
      <w:hyperlink r:id="rId14">
        <w:r>
          <w:rPr>
            <w:rFonts w:ascii="Calibri" w:hAnsi="Calibri"/>
            <w:color w:val="214E5F"/>
            <w:u w:val="single"/>
          </w:rPr>
          <w:t>Glade</w:t>
        </w:r>
      </w:hyperlink>
    </w:p>
    <w:p>
      <w:pPr>
        <w:pStyle w:val="ListBullet"/>
        <w:spacing w:before="0" w:after="60"/>
        <w:ind w:left="720" w:hanging="360"/>
      </w:pPr>
      <w:hyperlink r:id="rId15">
        <w:r>
          <w:rPr>
            <w:rFonts w:ascii="Calibri" w:hAnsi="Calibri"/>
            <w:color w:val="214E5F"/>
            <w:u w:val="single"/>
          </w:rPr>
          <w:t>Glade Help Center</w:t>
        </w:r>
      </w:hyperlink>
    </w:p>
    <w:p>
      <w:pPr>
        <w:pStyle w:val="ListBullet"/>
        <w:spacing w:before="0" w:after="60"/>
        <w:ind w:left="720" w:hanging="360"/>
      </w:pPr>
      <w:hyperlink r:id="rId16">
        <w:r>
          <w:rPr>
            <w:rFonts w:ascii="Calibri" w:hAnsi="Calibri"/>
            <w:color w:val="214E5F"/>
            <w:u w:val="single"/>
          </w:rPr>
          <w:t>Clio features</w:t>
        </w:r>
      </w:hyperlink>
    </w:p>
    <w:p>
      <w:pPr>
        <w:pStyle w:val="ListBullet"/>
        <w:spacing w:before="0" w:after="60"/>
        <w:ind w:left="720" w:hanging="360"/>
      </w:pPr>
      <w:hyperlink r:id="rId17">
        <w:r>
          <w:rPr>
            <w:rFonts w:ascii="Calibri" w:hAnsi="Calibri"/>
            <w:color w:val="214E5F"/>
            <w:u w:val="single"/>
          </w:rPr>
          <w:t>Clio Grow</w:t>
        </w:r>
      </w:hyperlink>
    </w:p>
    <w:p>
      <w:pPr>
        <w:pStyle w:val="ListBullet"/>
        <w:spacing w:before="0" w:after="60"/>
        <w:ind w:left="720" w:hanging="360"/>
      </w:pPr>
      <w:hyperlink r:id="rId18">
        <w:r>
          <w:rPr>
            <w:rFonts w:ascii="Calibri" w:hAnsi="Calibri"/>
            <w:color w:val="214E5F"/>
            <w:u w:val="single"/>
          </w:rPr>
          <w:t>Clio Tasks</w:t>
        </w:r>
      </w:hyperlink>
    </w:p>
    <w:p>
      <w:pPr>
        <w:pStyle w:val="ListBullet"/>
        <w:spacing w:before="0" w:after="60"/>
        <w:ind w:left="720" w:hanging="360"/>
      </w:pPr>
      <w:hyperlink r:id="rId19">
        <w:r>
          <w:rPr>
            <w:rFonts w:ascii="Calibri" w:hAnsi="Calibri"/>
            <w:color w:val="214E5F"/>
            <w:u w:val="single"/>
          </w:rPr>
          <w:t>Clio Documents</w:t>
        </w:r>
      </w:hyperlink>
    </w:p>
    <w:p>
      <w:pPr>
        <w:pStyle w:val="ListBullet"/>
        <w:spacing w:before="0" w:after="60"/>
        <w:ind w:left="720" w:hanging="360"/>
      </w:pPr>
      <w:hyperlink r:id="rId20">
        <w:r>
          <w:rPr>
            <w:rFonts w:ascii="Calibri" w:hAnsi="Calibri"/>
            <w:color w:val="214E5F"/>
            <w:u w:val="single"/>
          </w:rPr>
          <w:t>Clio automated workflows</w:t>
        </w:r>
      </w:hyperlink>
    </w:p>
    <w:p>
      <w:pPr>
        <w:pStyle w:val="ListBullet"/>
        <w:spacing w:before="0" w:after="60"/>
        <w:ind w:left="720" w:hanging="360"/>
      </w:pPr>
      <w:hyperlink r:id="rId21">
        <w:r>
          <w:rPr>
            <w:rFonts w:ascii="Calibri" w:hAnsi="Calibri"/>
            <w:color w:val="214E5F"/>
            <w:u w:val="single"/>
          </w:rPr>
          <w:t>Clio client portal</w:t>
        </w:r>
      </w:hyperlink>
    </w:p>
    <w:p>
      <w:pPr>
        <w:pStyle w:val="ListBullet"/>
        <w:spacing w:before="0" w:after="60"/>
        <w:ind w:left="720" w:hanging="360"/>
      </w:pPr>
      <w:hyperlink r:id="rId22">
        <w:r>
          <w:rPr>
            <w:rFonts w:ascii="Calibri" w:hAnsi="Calibri"/>
            <w:color w:val="214E5F"/>
            <w:u w:val="single"/>
          </w:rPr>
          <w:t>BK Questionnaire</w:t>
        </w:r>
      </w:hyperlink>
    </w:p>
    <w:p>
      <w:pPr>
        <w:pStyle w:val="ListBullet"/>
        <w:spacing w:before="0" w:after="60"/>
        <w:ind w:left="720" w:hanging="360"/>
      </w:pPr>
      <w:hyperlink r:id="rId23">
        <w:r>
          <w:rPr>
            <w:rFonts w:ascii="Calibri" w:hAnsi="Calibri"/>
            <w:color w:val="214E5F"/>
            <w:u w:val="single"/>
          </w:rPr>
          <w:t>BK Questionnaire pricing</w:t>
        </w:r>
      </w:hyperlink>
    </w:p>
    <w:p>
      <w:pPr>
        <w:pStyle w:val="ListBullet"/>
        <w:spacing w:before="0" w:after="60"/>
        <w:ind w:left="720" w:hanging="360"/>
      </w:pPr>
      <w:hyperlink r:id="rId24">
        <w:r>
          <w:rPr>
            <w:rFonts w:ascii="Calibri" w:hAnsi="Calibri"/>
            <w:color w:val="214E5F"/>
            <w:u w:val="single"/>
          </w:rPr>
          <w:t>NextChapter / MyChapter</w:t>
        </w:r>
      </w:hyperlink>
    </w:p>
    <w:p>
      <w:pPr>
        <w:pStyle w:val="ListBullet"/>
        <w:spacing w:before="0" w:after="60"/>
        <w:ind w:left="720" w:hanging="360"/>
      </w:pPr>
      <w:hyperlink r:id="rId25">
        <w:r>
          <w:rPr>
            <w:rFonts w:ascii="Calibri" w:hAnsi="Calibri"/>
            <w:color w:val="214E5F"/>
            <w:u w:val="single"/>
          </w:rPr>
          <w:t>Jubilee</w:t>
        </w:r>
      </w:hyperlink>
    </w:p>
    <w:p>
      <w:pPr>
        <w:pStyle w:val="ListBullet"/>
        <w:spacing w:before="0" w:after="60"/>
        <w:ind w:left="720" w:hanging="360"/>
      </w:pPr>
      <w:hyperlink r:id="rId26">
        <w:r>
          <w:rPr>
            <w:rFonts w:ascii="Calibri" w:hAnsi="Calibri"/>
            <w:color w:val="214E5F"/>
            <w:u w:val="single"/>
          </w:rPr>
          <w:t>Stretto Best Case</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67069"/>
        <w:sz w:val="17"/>
      </w:rPr>
      <w:t>BK FastLane - Jimmy demo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667069"/>
        <w:sz w:val="17"/>
      </w:rPr>
      <w:t>BK FASTLANE  |  CRM PRODUCT REPORT</w:t>
    </w:r>
    <w:r>
      <w:rPr>
        <w:rFonts w:ascii="Calibri" w:hAnsi="Calibri"/>
        <w:b/>
        <w:color w:val="667069"/>
        <w:sz w:val="17"/>
      </w:rPr>
      <w:tab/>
      <w:t>JULY 14,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313C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3D5C4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3D5C4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14E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jimmydanol.github.io/bkfl-crm-lite/"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www.glade.ai/" TargetMode="External"/><Relationship Id="rId15" Type="http://schemas.openxmlformats.org/officeDocument/2006/relationships/hyperlink" Target="https://help.glade.ai/" TargetMode="External"/><Relationship Id="rId16" Type="http://schemas.openxmlformats.org/officeDocument/2006/relationships/hyperlink" Target="https://www.clio.com/features/" TargetMode="External"/><Relationship Id="rId17" Type="http://schemas.openxmlformats.org/officeDocument/2006/relationships/hyperlink" Target="https://www.clio.com/grow/" TargetMode="External"/><Relationship Id="rId18" Type="http://schemas.openxmlformats.org/officeDocument/2006/relationships/hyperlink" Target="https://help.clio.com/hc/en-us/articles/9204917906971-Manage-Tasks-in-Clio-Manage" TargetMode="External"/><Relationship Id="rId19" Type="http://schemas.openxmlformats.org/officeDocument/2006/relationships/hyperlink" Target="https://help.clio.com/hc/en-us/articles/9290308200091-Generate-Manage-and-Share-Documents" TargetMode="External"/><Relationship Id="rId20" Type="http://schemas.openxmlformats.org/officeDocument/2006/relationships/hyperlink" Target="https://help.clio.com/hc/en-150/articles/35132279298843-Clio-Manage-Automated-Workflows" TargetMode="External"/><Relationship Id="rId21" Type="http://schemas.openxmlformats.org/officeDocument/2006/relationships/hyperlink" Target="https://help.clio.com/hc/en-150/articles/9156800144283-Clio-for-Clients-Client-Actions" TargetMode="External"/><Relationship Id="rId22" Type="http://schemas.openxmlformats.org/officeDocument/2006/relationships/hyperlink" Target="https://www.bkquestionnaire.com/" TargetMode="External"/><Relationship Id="rId23" Type="http://schemas.openxmlformats.org/officeDocument/2006/relationships/hyperlink" Target="https://www.bkquestionnaire.com/public/pricing" TargetMode="External"/><Relationship Id="rId24" Type="http://schemas.openxmlformats.org/officeDocument/2006/relationships/hyperlink" Target="https://app.nextchapterbk.com/sign_in_attempts/new" TargetMode="External"/><Relationship Id="rId25" Type="http://schemas.openxmlformats.org/officeDocument/2006/relationships/hyperlink" Target="https://www.jubileepro.com/" TargetMode="External"/><Relationship Id="rId26" Type="http://schemas.openxmlformats.org/officeDocument/2006/relationships/hyperlink" Target="https://www.stretto.com/bankruptcy-software-services/best-c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BK FastLane CRM: Contact to Petition Prep</dc:title>
  <dc:subject>Plain-English product report and production recommendation</dc:subject>
  <dc:creator>BK FastLane</dc:creator>
  <cp:keywords>BK FastLane, CRM, bankruptcy intake, petition prep</cp:keywords>
  <dc:description>generated by python-docx</dc:description>
  <cp:lastModifiedBy/>
  <cp:revision>1</cp:revision>
  <dcterms:created xsi:type="dcterms:W3CDTF">2013-12-23T23:15:00Z</dcterms:created>
  <dcterms:modified xsi:type="dcterms:W3CDTF">2013-12-23T23:15:00Z</dcterms:modified>
  <cp:category/>
</cp:coreProperties>
</file>