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0"/>
      </w:pPr>
      <w:r>
        <w:rPr>
          <w:rFonts w:ascii="Calibri" w:hAnsi="Calibri"/>
          <w:b/>
          <w:color w:val="3D5C43"/>
          <w:sz w:val="20"/>
        </w:rPr>
        <w:t>CRM PRODUCT REPORT</w:t>
      </w:r>
    </w:p>
    <w:p>
      <w:pPr>
        <w:spacing w:before="0" w:after="100"/>
      </w:pPr>
      <w:r>
        <w:rPr>
          <w:rFonts w:ascii="Calibri" w:hAnsi="Calibri"/>
          <w:b/>
          <w:color w:val="214E5F"/>
          <w:sz w:val="52"/>
        </w:rPr>
        <w:t>BK FastLane CRM:</w:t>
        <w:br/>
        <w:t>Contact to Petition Prep</w:t>
      </w:r>
    </w:p>
    <w:p>
      <w:pPr>
        <w:spacing w:after="280"/>
      </w:pPr>
      <w:r>
        <w:rPr>
          <w:rFonts w:ascii="Calibri" w:hAnsi="Calibri"/>
          <w:color w:val="667069"/>
          <w:sz w:val="27"/>
        </w:rPr>
        <w:t>Plain-English product review for Jimmy Stein and Matt McCune</w:t>
      </w:r>
    </w:p>
    <w:p>
      <w:pPr>
        <w:spacing w:after="40"/>
      </w:pPr>
      <w:r>
        <w:rPr>
          <w:rFonts w:ascii="Calibri" w:hAnsi="Calibri"/>
          <w:b/>
          <w:color w:val="313C35"/>
          <w:sz w:val="21"/>
        </w:rPr>
        <w:t xml:space="preserve">Date: </w:t>
      </w:r>
      <w:r>
        <w:rPr>
          <w:rFonts w:ascii="Calibri" w:hAnsi="Calibri"/>
          <w:color w:val="667069"/>
          <w:sz w:val="21"/>
        </w:rPr>
        <w:t>July 14, 2026</w:t>
      </w:r>
    </w:p>
    <w:p>
      <w:pPr>
        <w:spacing w:after="40"/>
      </w:pPr>
      <w:r>
        <w:rPr>
          <w:rFonts w:ascii="Calibri" w:hAnsi="Calibri"/>
          <w:b/>
          <w:color w:val="313C35"/>
          <w:sz w:val="21"/>
        </w:rPr>
        <w:t xml:space="preserve">Status: </w:t>
      </w:r>
      <w:r>
        <w:rPr>
          <w:rFonts w:ascii="Calibri" w:hAnsi="Calibri"/>
          <w:color w:val="667069"/>
          <w:sz w:val="21"/>
        </w:rPr>
        <w:t>Live fake-data demo verified</w:t>
      </w:r>
    </w:p>
    <w:p>
      <w:pPr>
        <w:spacing w:after="40"/>
      </w:pPr>
      <w:r>
        <w:rPr>
          <w:rFonts w:ascii="Calibri" w:hAnsi="Calibri"/>
          <w:b/>
          <w:color w:val="313C35"/>
          <w:sz w:val="21"/>
        </w:rPr>
        <w:t xml:space="preserve">Branch: </w:t>
      </w:r>
      <w:r>
        <w:rPr>
          <w:rFonts w:ascii="Calibri" w:hAnsi="Calibri"/>
          <w:color w:val="667069"/>
          <w:sz w:val="21"/>
        </w:rPr>
        <w:t>Jimmy - Contact to Petition Prep</w:t>
      </w:r>
    </w:p>
    <w:p>
      <w:pPr>
        <w:spacing w:after="280"/>
      </w:pPr>
      <w:r>
        <w:rPr>
          <w:rFonts w:ascii="Calibri" w:hAnsi="Calibri"/>
          <w:b/>
          <w:color w:val="313C35"/>
          <w:sz w:val="21"/>
        </w:rPr>
        <w:t xml:space="preserve">Live demo: </w:t>
      </w:r>
      <w:hyperlink r:id="rId11">
        <w:r>
          <w:rPr>
            <w:rFonts w:ascii="Calibri" w:hAnsi="Calibri"/>
            <w:color w:val="214E5F"/>
            <w:u w:val="single"/>
            <w:b/>
          </w:rPr>
          <w:t>jimmydanol.github.io/bkfl-crm-lite</w:t>
        </w:r>
      </w:hyperlink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9E0DA"/>
          <w:left w:val="single" w:sz="6" w:space="0" w:color="D9E0DA"/>
          <w:bottom w:val="single" w:sz="6" w:space="0" w:color="D9E0DA"/>
          <w:right w:val="single" w:sz="6" w:space="0" w:color="D9E0DA"/>
          <w:insideH w:val="single" w:sz="6" w:space="0" w:color="D9E0DA"/>
          <w:insideV w:val="single" w:sz="6" w:space="0" w:color="D9E0DA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E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D5C43"/>
                <w:sz w:val="22"/>
              </w:rPr>
              <w:t xml:space="preserve">VERDICT  </w:t>
            </w:r>
            <w:r>
              <w:rPr>
                <w:rFonts w:ascii="Calibri" w:hAnsi="Calibri"/>
                <w:color w:val="313C35"/>
                <w:sz w:val="22"/>
              </w:rPr>
              <w:t>The product direction is now clear enough to explain to a solo bankruptcy attorney in a few minutes. Keep this design and make the workflow secure, reliable, and connected before adding more screens.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Executive verdict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The CRM is now centered on one job: move a potential bankruptcy client from first contact to a complete file that can be used to start preparing the petition.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The record name changes automatically based on what the firm actually has, not on a staff member's guess.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9E0DA"/>
          <w:left w:val="single" w:sz="6" w:space="0" w:color="D9E0DA"/>
          <w:bottom w:val="single" w:sz="6" w:space="0" w:color="D9E0DA"/>
          <w:right w:val="single" w:sz="6" w:space="0" w:color="D9E0DA"/>
          <w:insideH w:val="single" w:sz="6" w:space="0" w:color="D9E0DA"/>
          <w:insideV w:val="single" w:sz="6" w:space="0" w:color="D9E0DA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F4FD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A73E8"/>
                <w:sz w:val="22"/>
              </w:rPr>
              <w:t>LEAD</w:t>
            </w:r>
          </w:p>
        </w:tc>
        <w:tc>
          <w:tcPr>
            <w:tcW w:type="dxa" w:w="3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EF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3D5C43"/>
                <w:sz w:val="22"/>
              </w:rPr>
              <w:t>CONTACT</w:t>
            </w:r>
          </w:p>
        </w:tc>
        <w:tc>
          <w:tcPr>
            <w:tcW w:type="dxa" w:w="3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0F2F1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00695C"/>
                <w:sz w:val="22"/>
              </w:rPr>
              <w:t>MATTER</w:t>
            </w:r>
          </w:p>
        </w:tc>
      </w:tr>
      <w:tr>
        <w:tc>
          <w:tcPr>
            <w:tcW w:type="dxa" w:w="3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313C35"/>
                <w:sz w:val="19"/>
              </w:rPr>
              <w:t>No Intake answers received</w:t>
            </w:r>
          </w:p>
        </w:tc>
        <w:tc>
          <w:tcPr>
            <w:tcW w:type="dxa" w:w="3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313C35"/>
                <w:sz w:val="19"/>
              </w:rPr>
              <w:t>Some Intake data received; answers or documents still need work</w:t>
            </w:r>
          </w:p>
        </w:tc>
        <w:tc>
          <w:tcPr>
            <w:tcW w:type="dxa" w:w="31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313C35"/>
                <w:sz w:val="19"/>
              </w:rPr>
              <w:t>Data and documents complete; ready for petition prep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Recommendation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Use this version as the product-design baseline. Do not add broad case-management or post-filing features yet. First connect this workflow to secure storage, the live Intake, and a controlled pilot.</w:t>
      </w:r>
    </w:p>
    <w:p>
      <w:r>
        <w:br w:type="page"/>
      </w:r>
    </w:p>
    <w:p>
      <w:pPr>
        <w:pStyle w:val="Heading1"/>
        <w:keepNext/>
      </w:pPr>
      <w:r>
        <w:t>What changed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Matt's four-part structure remains, but the four sections are Dashboard, Leads, Contacts, and Matters.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Settings remains available as a small utility instead of competing with daily work.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The Dashboard explains the workflow at a glance and lists the files that need work next.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Contacts appear ahead of Leads because they are closer to petition prep and contain the most valuable staff work.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Each Contact shows Intake-data progress, document progress, and one plain-language next step.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A Contact becomes a Matter only when required data and every document request are complete.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A Matter returns to Contacts if new activity reopens data or document work.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Each debtor file has four focused tabs: Overview, Intake Data, Documents, and Activity.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The document resolved count now includes only approved or excused requests.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Hover explanations and a fake-data-only banner make the demo easier and safer to understand.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35312"/>
            <wp:docPr id="1" name="Picture 1" descr="Figure 1. The live Dashboard gives the firm one prioritized work list and makes the lifecycl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3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/>
          <w:i/>
          <w:color w:val="667069"/>
          <w:sz w:val="19"/>
        </w:rPr>
        <w:t>Figure 1. The live Dashboard gives the firm one prioritized work list and makes the lifecycle visible.</w:t>
      </w:r>
    </w:p>
    <w:p>
      <w:r>
        <w:br w:type="page"/>
      </w:r>
    </w:p>
    <w:p>
      <w:pPr>
        <w:pStyle w:val="Heading1"/>
        <w:keepNext/>
      </w:pPr>
      <w:r>
        <w:t>The intended daily workflow</w:t>
      </w:r>
    </w:p>
    <w:p>
      <w:pPr>
        <w:pStyle w:val="Heading2"/>
        <w:keepNext/>
      </w:pPr>
      <w:r>
        <w:t>1. Create the Lead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The firm records the person's name and contact information. The person remains a Lead even if the secure Intake link has been sent, because no answers have been received.</w:t>
      </w:r>
    </w:p>
    <w:p>
      <w:pPr>
        <w:pStyle w:val="Heading2"/>
        <w:keepNext/>
      </w:pPr>
      <w:r>
        <w:t>2. Receive Intake data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As soon as any Intake answers arrive, the person becomes a Contact. This tells the firm there is now a real file to complete.</w:t>
      </w:r>
    </w:p>
    <w:p>
      <w:pPr>
        <w:pStyle w:val="Heading2"/>
        <w:keepNext/>
      </w:pPr>
      <w:r>
        <w:t>3. Complete the Contact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The Contact screen separates Intake answers from documents. Staff should always be able to answer: What is missing, and who needs to act next?</w:t>
      </w:r>
    </w:p>
    <w:p>
      <w:pPr>
        <w:pStyle w:val="Heading2"/>
        <w:keepNext/>
      </w:pPr>
      <w:r>
        <w:t>4. Reach petition prep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When required Intake sections have answers and all document requests are approved or excused, the Contact automatically becomes a Matter. The next action is to begin petition preparation.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90938"/>
            <wp:docPr id="2" name="Picture 2" descr="Figure 2. A Contact record shows the next step and keeps Intake data and document readiness sepa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9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/>
          <w:i/>
          <w:color w:val="667069"/>
          <w:sz w:val="19"/>
        </w:rPr>
        <w:t>Figure 2. A Contact record shows the next step and keeps Intake data and document readiness separate.</w:t>
      </w:r>
    </w:p>
    <w:p>
      <w:r>
        <w:br w:type="page"/>
      </w:r>
    </w:p>
    <w:p>
      <w:pPr>
        <w:pStyle w:val="Heading1"/>
        <w:keepNext/>
      </w:pPr>
      <w:r>
        <w:t>What works well now</w:t>
      </w:r>
    </w:p>
    <w:p>
      <w:pPr>
        <w:spacing w:before="0" w:after="120" w:line="264" w:lineRule="auto"/>
      </w:pPr>
      <w:r>
        <w:rPr>
          <w:rFonts w:ascii="Calibri" w:hAnsi="Calibri"/>
          <w:b/>
          <w:color w:val="313C35"/>
          <w:sz w:val="22"/>
        </w:rPr>
        <w:t>The language matches a small bankruptcy firm.</w:t>
      </w:r>
      <w:r>
        <w:rPr>
          <w:rFonts w:ascii="Calibri" w:hAnsi="Calibri"/>
          <w:i w:val="0"/>
          <w:color w:val="313C35"/>
          <w:sz w:val="22"/>
        </w:rPr>
        <w:t xml:space="preserve"> Lead, Contact, and Matter describe real changes in the file, not vague sales stages.</w:t>
      </w:r>
    </w:p>
    <w:p>
      <w:pPr>
        <w:spacing w:before="0" w:after="120" w:line="264" w:lineRule="auto"/>
      </w:pPr>
      <w:r>
        <w:rPr>
          <w:rFonts w:ascii="Calibri" w:hAnsi="Calibri"/>
          <w:b/>
          <w:color w:val="313C35"/>
          <w:sz w:val="22"/>
        </w:rPr>
        <w:t>The Dashboard answers what to do next.</w:t>
      </w:r>
      <w:r>
        <w:rPr>
          <w:rFonts w:ascii="Calibri" w:hAnsi="Calibri"/>
          <w:i w:val="0"/>
          <w:color w:val="313C35"/>
          <w:sz w:val="22"/>
        </w:rPr>
        <w:t xml:space="preserve"> It shows counts, progress, and one short work list instead of acting as a general control center.</w:t>
      </w:r>
    </w:p>
    <w:p>
      <w:pPr>
        <w:spacing w:before="0" w:after="120" w:line="264" w:lineRule="auto"/>
      </w:pPr>
      <w:r>
        <w:rPr>
          <w:rFonts w:ascii="Calibri" w:hAnsi="Calibri"/>
          <w:b/>
          <w:color w:val="313C35"/>
          <w:sz w:val="22"/>
        </w:rPr>
        <w:t>Data and documents stay separate.</w:t>
      </w:r>
      <w:r>
        <w:rPr>
          <w:rFonts w:ascii="Calibri" w:hAnsi="Calibri"/>
          <w:i w:val="0"/>
          <w:color w:val="313C35"/>
          <w:sz w:val="22"/>
        </w:rPr>
        <w:t xml:space="preserve"> A complete questionnaire does not mean the documents are complete, and complete documents do not cure missing answers.</w:t>
      </w:r>
    </w:p>
    <w:p>
      <w:pPr>
        <w:spacing w:before="0" w:after="120" w:line="264" w:lineRule="auto"/>
      </w:pPr>
      <w:r>
        <w:rPr>
          <w:rFonts w:ascii="Calibri" w:hAnsi="Calibri"/>
          <w:b/>
          <w:color w:val="313C35"/>
          <w:sz w:val="22"/>
        </w:rPr>
        <w:t>A Matter cannot be created too early.</w:t>
      </w:r>
      <w:r>
        <w:rPr>
          <w:rFonts w:ascii="Calibri" w:hAnsi="Calibri"/>
          <w:i w:val="0"/>
          <w:color w:val="313C35"/>
          <w:sz w:val="22"/>
        </w:rPr>
        <w:t xml:space="preserve"> The file must earn the Matter label from actual readiness.</w:t>
      </w:r>
    </w:p>
    <w:p>
      <w:pPr>
        <w:spacing w:before="0" w:after="120" w:line="264" w:lineRule="auto"/>
      </w:pPr>
      <w:r>
        <w:rPr>
          <w:rFonts w:ascii="Calibri" w:hAnsi="Calibri"/>
          <w:b/>
          <w:color w:val="313C35"/>
          <w:sz w:val="22"/>
        </w:rPr>
        <w:t>Firm judgment remains in control.</w:t>
      </w:r>
      <w:r>
        <w:rPr>
          <w:rFonts w:ascii="Calibri" w:hAnsi="Calibri"/>
          <w:i w:val="0"/>
          <w:color w:val="313C35"/>
          <w:sz w:val="22"/>
        </w:rPr>
        <w:t xml:space="preserve"> AI may flag or preliminarily accept an upload, but the firm approves, rejects, or excuses it.</w:t>
      </w:r>
    </w:p>
    <w:p>
      <w:pPr>
        <w:spacing w:before="0" w:after="120" w:line="264" w:lineRule="auto"/>
      </w:pPr>
      <w:r>
        <w:rPr>
          <w:rFonts w:ascii="Calibri" w:hAnsi="Calibri"/>
          <w:b/>
          <w:color w:val="313C35"/>
          <w:sz w:val="22"/>
        </w:rPr>
        <w:t>The design stays narrow.</w:t>
      </w:r>
      <w:r>
        <w:rPr>
          <w:rFonts w:ascii="Calibri" w:hAnsi="Calibri"/>
          <w:i w:val="0"/>
          <w:color w:val="313C35"/>
          <w:sz w:val="22"/>
        </w:rPr>
        <w:t xml:space="preserve"> The CRM stops at a clean, reviewable package instead of trying to replace mature petition-preparation software.</w:t>
      </w:r>
    </w:p>
    <w:p>
      <w:pPr>
        <w:pStyle w:val="Heading1"/>
        <w:keepNext/>
      </w:pPr>
      <w:r>
        <w:t>What is not production-ready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9E0DA"/>
          <w:left w:val="single" w:sz="6" w:space="0" w:color="D9E0DA"/>
          <w:bottom w:val="single" w:sz="6" w:space="0" w:color="D9E0DA"/>
          <w:right w:val="single" w:sz="6" w:space="0" w:color="D9E0DA"/>
          <w:insideH w:val="single" w:sz="6" w:space="0" w:color="D9E0DA"/>
          <w:insideV w:val="single" w:sz="6" w:space="0" w:color="D9E0DA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</w:tcPr>
          <w:p>
            <w:pPr>
              <w:spacing w:after="0"/>
            </w:pPr>
            <w:r>
              <w:rPr>
                <w:rFonts w:ascii="Calibri" w:hAnsi="Calibri"/>
                <w:b/>
                <w:color w:val="9A6B20"/>
                <w:sz w:val="22"/>
              </w:rPr>
              <w:t xml:space="preserve">SAFETY BOUNDARY  </w:t>
            </w:r>
            <w:r>
              <w:rPr>
                <w:rFonts w:ascii="Calibri" w:hAnsi="Calibri"/>
                <w:color w:val="313C35"/>
                <w:sz w:val="22"/>
              </w:rPr>
              <w:t>This demo is appropriate for product review and synthetic testing. It is not ready for real client data.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Must be completed before a real-client pilot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Real accounts and permissions for attorneys, paralegals, and administrators.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Encrypted client-data and document storage, backups, retention rules, and tested recovery.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A reliable live Intake connection with retries and visible error handling.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Real file controls, malware scanning, and dependable preview and download behavior.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A permanent activity history showing who changed data, approved documents, or sent requests.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Attorney-approved, versioned rules for chapter-specific required answers and documents.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End-to-end synthetic testing of submission, partial completion, follow-up, Matter promotion, reopening, and export.</w:t>
      </w:r>
    </w:p>
    <w:p>
      <w:pPr>
        <w:pStyle w:val="Heading2"/>
        <w:keepNext/>
      </w:pPr>
      <w:r>
        <w:t>Important next improvements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Duplicate detection and safe joint-filer handling.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Reliable email and text reminders with consent and delivery history.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Clear ownership so each Contact has a responsible staff member.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Export into the selected petition-preparation system.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Accessibility, keyboard, mobile, performance, and browser testing.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Simple reporting on time waiting for the client versus time waiting for the firm.</w:t>
      </w:r>
    </w:p>
    <w:p>
      <w:r>
        <w:br w:type="page"/>
      </w:r>
    </w:p>
    <w:p>
      <w:pPr>
        <w:pStyle w:val="Heading1"/>
        <w:keepNext/>
      </w:pPr>
      <w:r>
        <w:t>Competitive lessons applied</w:t>
      </w:r>
    </w:p>
    <w:p>
      <w:pPr>
        <w:pStyle w:val="Heading2"/>
        <w:keepNext/>
      </w:pPr>
      <w:r>
        <w:t>BK Questionnaire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Guided mobile Intake, exact document requests, organized uploads, and reminders show the value of making missing information obvious and the next request easy.</w:t>
      </w:r>
    </w:p>
    <w:p>
      <w:pPr>
        <w:pStyle w:val="Heading2"/>
        <w:keepNext/>
      </w:pPr>
      <w:r>
        <w:t>NextChapter / MyChapter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A clean debtor-portal handoff keeps client entry separate from firm review and avoids redundant entry.</w:t>
      </w:r>
    </w:p>
    <w:p>
      <w:pPr>
        <w:pStyle w:val="Heading2"/>
        <w:keepNext/>
      </w:pPr>
      <w:r>
        <w:t>Jubilee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Client data, documents, and communications belong on one debtor file rather than across disconnected tools.</w:t>
      </w:r>
    </w:p>
    <w:p>
      <w:pPr>
        <w:pStyle w:val="Heading2"/>
        <w:keepNext/>
      </w:pPr>
      <w:r>
        <w:t>Stretto Best Case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Mature petition-preparation software already owns forms preparation and filing. BK FastLane should export or integrate later, not reproduce it here.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9E0DA"/>
          <w:left w:val="single" w:sz="6" w:space="0" w:color="D9E0DA"/>
          <w:bottom w:val="single" w:sz="6" w:space="0" w:color="D9E0DA"/>
          <w:right w:val="single" w:sz="6" w:space="0" w:color="D9E0DA"/>
          <w:insideH w:val="single" w:sz="6" w:space="0" w:color="D9E0DA"/>
          <w:insideV w:val="single" w:sz="6" w:space="0" w:color="D9E0DA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EF5E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D5C43"/>
                <w:sz w:val="22"/>
              </w:rPr>
              <w:t xml:space="preserve">BEST POSITIONING  </w:t>
            </w:r>
            <w:r>
              <w:rPr>
                <w:rFonts w:ascii="Calibri" w:hAnsi="Calibri"/>
                <w:color w:val="313C35"/>
                <w:sz w:val="22"/>
              </w:rPr>
              <w:t>The fastest, clearest way for a solo bankruptcy firm to turn debtor information and documents into a complete petition-prep package.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Recommended production order</w:t>
      </w:r>
    </w:p>
    <w:p>
      <w:pPr>
        <w:pStyle w:val="Heading2"/>
        <w:keepNext/>
      </w:pPr>
      <w:r>
        <w:t>Phase 1 - Make the current workflow real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Confirm the Lead, Contact, and Matter rules with the attorneys.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Define the authoritative Intake and document data model.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Add authentication, permissions, secure storage, and audit history.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Connect the live Intake to the CRM.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Complete the real document-review and follow-up loop.</w:t>
      </w:r>
    </w:p>
    <w:p>
      <w:pPr>
        <w:pStyle w:val="Heading2"/>
        <w:keepNext/>
      </w:pPr>
      <w:r>
        <w:t>Phase 2 - Run a controlled synthetic pilot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Use varied fake clients with missing, inconsistent, and incomplete information.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Confirm staff can always identify what is missing and who acts next.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Test Matter promotion and reopening back to Contacts.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Fix confusion before allowing real client data.</w:t>
      </w:r>
    </w:p>
    <w:p>
      <w:pPr>
        <w:pStyle w:val="Heading2"/>
        <w:keepNext/>
      </w:pPr>
      <w:r>
        <w:t>Phase 3 - Limited real-client pilot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Select a small number of matters with attorney supervision.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Keep a manual fallback and verify every export.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Track errors, staff time, follow-up counts, and time to readiness.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Expand only after handling is reliable and repeatable.</w:t>
      </w:r>
    </w:p>
    <w:p>
      <w:pPr>
        <w:pStyle w:val="Heading1"/>
        <w:keepNext/>
      </w:pPr>
      <w:r>
        <w:t>Measures that matter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Time from Lead creation to first Intake response.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Time from Contact creation to Matter readiness.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Missing Intake sections per Contact.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Documents waiting on the client versus waiting on the firm.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Follow-ups required per Contact.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Matters reopened because work was incomplete.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Staff time spent per file before petition prep.</w:t>
      </w:r>
    </w:p>
    <w:p>
      <w:pPr>
        <w:pStyle w:val="Heading1"/>
        <w:keepNext/>
      </w:pPr>
      <w:r>
        <w:t>Go / no-go recommendation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9E0DA"/>
          <w:left w:val="single" w:sz="6" w:space="0" w:color="D9E0DA"/>
          <w:bottom w:val="single" w:sz="6" w:space="0" w:color="D9E0DA"/>
          <w:right w:val="single" w:sz="6" w:space="0" w:color="D9E0DA"/>
          <w:insideH w:val="single" w:sz="6" w:space="0" w:color="D9E0DA"/>
          <w:insideV w:val="single" w:sz="6" w:space="0" w:color="D9E0DA"/>
        </w:tblBorders>
      </w:tblPr>
      <w:tblGrid>
        <w:gridCol w:w="4680"/>
        <w:gridCol w:w="4680"/>
      </w:tblGrid>
      <w:tr>
        <w:tc>
          <w:tcPr>
            <w:tcW w:type="dxa" w:w="7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21"/>
              </w:rPr>
              <w:t>Share this fake-data demo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3D5C43"/>
                <w:sz w:val="21"/>
              </w:rPr>
              <w:t>YES</w:t>
            </w:r>
          </w:p>
        </w:tc>
      </w:tr>
      <w:tr>
        <w:tc>
          <w:tcPr>
            <w:tcW w:type="dxa" w:w="7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21"/>
              </w:rPr>
              <w:t>Use this design as the CRM baseline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3D5C43"/>
                <w:sz w:val="21"/>
              </w:rPr>
              <w:t>YES</w:t>
            </w:r>
          </w:p>
        </w:tc>
      </w:tr>
      <w:tr>
        <w:tc>
          <w:tcPr>
            <w:tcW w:type="dxa" w:w="7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21"/>
              </w:rPr>
              <w:t>Begin a controlled synthetic pilot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3D5C43"/>
                <w:sz w:val="21"/>
              </w:rPr>
              <w:t>YES</w:t>
            </w:r>
          </w:p>
        </w:tc>
      </w:tr>
      <w:tr>
        <w:tc>
          <w:tcPr>
            <w:tcW w:type="dxa" w:w="7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21"/>
              </w:rPr>
              <w:t>Store real client information today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9B1C1C"/>
                <w:sz w:val="21"/>
              </w:rPr>
              <w:t>NO</w:t>
            </w:r>
          </w:p>
        </w:tc>
      </w:tr>
      <w:tr>
        <w:tc>
          <w:tcPr>
            <w:tcW w:type="dxa" w:w="7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21"/>
              </w:rPr>
              <w:t>Sell it as production-ready software today</w:t>
            </w:r>
          </w:p>
        </w:tc>
        <w:tc>
          <w:tcPr>
            <w:tcW w:type="dxa" w:w="2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9B1C1C"/>
                <w:sz w:val="21"/>
              </w:rPr>
              <w:t>NO</w:t>
            </w:r>
          </w:p>
        </w:tc>
      </w:tr>
    </w:tbl>
    <w:p>
      <w:pPr>
        <w:spacing w:after="20"/>
      </w:pPr>
    </w:p>
    <w:p>
      <w:pPr>
        <w:spacing w:before="0" w:after="120" w:line="264" w:lineRule="auto"/>
      </w:pPr>
      <w:r>
        <w:rPr>
          <w:rFonts w:ascii="Calibri" w:hAnsi="Calibri"/>
          <w:i w:val="0"/>
          <w:color w:val="313C35"/>
          <w:sz w:val="22"/>
        </w:rPr>
        <w:t>The next value will come from making this exact workflow secure, reliable, and connected - not from adding more screens.</w:t>
      </w:r>
    </w:p>
    <w:p>
      <w:pPr>
        <w:pStyle w:val="Heading1"/>
        <w:keepNext/>
      </w:pPr>
      <w:r>
        <w:t>Build and verification record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9E0DA"/>
          <w:left w:val="single" w:sz="6" w:space="0" w:color="D9E0DA"/>
          <w:bottom w:val="single" w:sz="6" w:space="0" w:color="D9E0DA"/>
          <w:right w:val="single" w:sz="6" w:space="0" w:color="D9E0DA"/>
          <w:insideH w:val="single" w:sz="6" w:space="0" w:color="D9E0DA"/>
          <w:insideV w:val="single" w:sz="6" w:space="0" w:color="D9E0DA"/>
        </w:tblBorders>
      </w:tblPr>
      <w:tblGrid>
        <w:gridCol w:w="4680"/>
        <w:gridCol w:w="4680"/>
      </w:tblGrid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19"/>
              </w:rPr>
              <w:t>Matt's unchanged base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color w:val="667069"/>
                <w:sz w:val="19"/>
              </w:rPr>
              <w:t>a94e1793dac7d08d8e1632f74c2b05b1a9a4a517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19"/>
              </w:rPr>
              <w:t>Jimmy feature branch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667069"/>
                <w:sz w:val="19"/>
              </w:rPr>
              <w:t>codex/jimmy-contact-to-petition-ready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19"/>
              </w:rPr>
              <w:t>CRM feature commit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color w:val="667069"/>
                <w:sz w:val="19"/>
              </w:rPr>
              <w:t>d59accaa6dab9c26e94d261a0c287cf6295f429e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19"/>
              </w:rPr>
              <w:t>GitHub Pages branch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667069"/>
                <w:sz w:val="19"/>
              </w:rPr>
              <w:t>Jimmy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19"/>
              </w:rPr>
              <w:t>Live verification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3"/>
          </w:tcPr>
          <w:p>
            <w:pPr>
              <w:spacing w:after="0"/>
            </w:pPr>
            <w:r>
              <w:rPr>
                <w:rFonts w:ascii="Calibri" w:hAnsi="Calibri"/>
                <w:color w:val="667069"/>
                <w:sz w:val="19"/>
              </w:rPr>
              <w:t>Lifecycle checks, JSX parsing, four rendered routes, Pages build, HTTP response, and browser inspection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313C35"/>
                <w:sz w:val="19"/>
              </w:rPr>
              <w:t>Matt's branch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667069"/>
                <w:sz w:val="19"/>
              </w:rPr>
              <w:t>Not changed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Sources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BK Questionnaire: https://www.bkquestionnaire.com/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BK Questionnaire pricing: https://www.bkquestionnaire.com/public/pricing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NextChapter / MyChapter: https://app.nextchapterbk.com/sign_in_attempts/new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Jubilee: https://www.jubileepro.com/</w:t>
      </w:r>
    </w:p>
    <w:p>
      <w:pPr>
        <w:pStyle w:val="ListBullet"/>
        <w:spacing w:before="0" w:after="100" w:line="264" w:lineRule="auto"/>
        <w:ind w:left="720" w:hanging="360"/>
      </w:pPr>
      <w:r>
        <w:rPr>
          <w:rFonts w:ascii="Calibri" w:hAnsi="Calibri"/>
          <w:color w:val="313C35"/>
          <w:sz w:val="22"/>
        </w:rPr>
        <w:t>Stretto Best Case: https://www.stretto.com/bankruptcy-software-services/best-case/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667069"/>
        <w:sz w:val="17"/>
      </w:rPr>
      <w:t>BK FastLane - Jimmy demo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Calibri" w:hAnsi="Calibri"/>
        <w:b/>
        <w:color w:val="667069"/>
        <w:sz w:val="17"/>
      </w:rPr>
      <w:t>BK FASTLANE  |  CRM PRODUCT REPORT</w:t>
    </w:r>
    <w:r>
      <w:rPr>
        <w:rFonts w:ascii="Calibri" w:hAnsi="Calibri"/>
        <w:b/>
        <w:color w:val="667069"/>
        <w:sz w:val="17"/>
      </w:rPr>
      <w:tab/>
      <w:t>JULY 14,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313C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3D5C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D5C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14E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immydanol.github.io/bkfl-crm-lite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BK FastLane CRM: Contact to Petition Prep</dc:title>
  <dc:subject>Plain-English product report and production recommendation</dc:subject>
  <dc:creator>BK FastLane</dc:creator>
  <cp:keywords>BK FastLane, CRM, bankruptcy intake, petition prep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