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3708C9">
      <w:pPr>
        <w:pStyle w:val="3"/>
      </w:pPr>
      <w:r>
        <w:t>极企6个研发项目"三新"合规审查及鉴定补充建议</w:t>
      </w:r>
    </w:p>
    <w:p w14:paraId="541499CE"/>
    <w:p w14:paraId="1998599B"/>
    <w:p w14:paraId="03EFF1DF">
      <w:pPr>
        <w:pStyle w:val="164"/>
        <w:pBdr>
          <w:left w:val="single" w:color="CCCCCC" w:sz="24" w:space="0"/>
        </w:pBdr>
        <w:shd w:val="clear" w:fill="F8F8F8"/>
      </w:pPr>
      <w:r>
        <w:rPr>
          <w:b/>
        </w:rPr>
        <w:t>更新说明：</w:t>
      </w:r>
      <w:r>
        <w:t xml:space="preserve"> 本文件于2026年5月28日更新，反映已完成的所有补充说明强化工作、项目关系叙事调整、软著状态更新等内容。原版审查诊断保留作为对照，新增各项目当前状态和已采取的补救措施。</w:t>
      </w:r>
    </w:p>
    <w:p w14:paraId="499A5390">
      <w:pPr>
        <w:pStyle w:val="169"/>
        <w:pBdr>
          <w:top w:val="single" w:color="CCCCCC" w:sz="8" w:space="0"/>
        </w:pBdr>
        <w:spacing w:after="240"/>
      </w:pPr>
    </w:p>
    <w:p w14:paraId="4871BEB2">
      <w:pPr>
        <w:pStyle w:val="4"/>
      </w:pPr>
      <w:r>
        <w:t>一、审查依据</w:t>
      </w:r>
    </w:p>
    <w:p w14:paraId="6C4EA00A">
      <w:pPr>
        <w:ind w:left="0" w:hanging="142"/>
      </w:pPr>
      <w:r>
        <w:rPr>
          <w:rFonts w:ascii="宋体" w:hAnsi="宋体" w:eastAsia="宋体"/>
          <w:color w:val="000000"/>
          <w:sz w:val="22"/>
        </w:rPr>
        <w:t xml:space="preserve">1. </w:t>
      </w:r>
      <w:r>
        <w:t>《财政部 国家税务总局 科技部关于完善研究开发费用税前加计扣除政策的通知》（财税〔2015〕119号）——研发活动定义及负面清单</w:t>
      </w:r>
    </w:p>
    <w:p w14:paraId="7094FFD7">
      <w:pPr>
        <w:ind w:left="0" w:hanging="142"/>
      </w:pPr>
      <w:r>
        <w:rPr>
          <w:rFonts w:ascii="宋体" w:hAnsi="宋体" w:eastAsia="宋体"/>
          <w:color w:val="000000"/>
          <w:sz w:val="22"/>
        </w:rPr>
        <w:t xml:space="preserve">2. </w:t>
      </w:r>
      <w:r>
        <w:t>《四川省企业研究开发费用加计扣除项目鉴定实施细则》第七条——鉴定所需资料</w:t>
      </w:r>
    </w:p>
    <w:p w14:paraId="2B91EA0D">
      <w:pPr>
        <w:ind w:left="0" w:hanging="142"/>
      </w:pPr>
      <w:r>
        <w:rPr>
          <w:rFonts w:ascii="宋体" w:hAnsi="宋体" w:eastAsia="宋体"/>
          <w:color w:val="000000"/>
          <w:sz w:val="22"/>
        </w:rPr>
        <w:t xml:space="preserve">3. </w:t>
      </w:r>
      <w:r>
        <w:t>国家税务总局《研发费用加计扣除政策执行指引（2.0版）》——研发活动判断要点</w:t>
      </w:r>
    </w:p>
    <w:p w14:paraId="65E76CF0">
      <w:pPr>
        <w:ind w:left="0" w:hanging="142"/>
      </w:pPr>
      <w:r>
        <w:rPr>
          <w:rFonts w:ascii="宋体" w:hAnsi="宋体" w:eastAsia="宋体"/>
          <w:color w:val="000000"/>
          <w:sz w:val="22"/>
        </w:rPr>
        <w:t xml:space="preserve">4. </w:t>
      </w:r>
      <w:r>
        <w:t>科技部、税务总局联合发布的研发项目鉴定典型案例——判断逻辑参照</w:t>
      </w:r>
    </w:p>
    <w:p w14:paraId="3A3D9EB2">
      <w:pPr>
        <w:pStyle w:val="5"/>
      </w:pPr>
      <w:r>
        <w:t>研发活动的法定定义</w:t>
      </w:r>
    </w:p>
    <w:p w14:paraId="697B1827">
      <w:pPr>
        <w:pStyle w:val="164"/>
        <w:pBdr>
          <w:left w:val="single" w:color="CCCCCC" w:sz="24" w:space="0"/>
        </w:pBdr>
        <w:shd w:val="clear" w:fill="F8F8F8"/>
      </w:pPr>
      <w:r>
        <w:t>研发活动是指企业为获得科学与技术新知识，创造性运用科学技术新知识，或</w:t>
      </w:r>
      <w:r>
        <w:rPr>
          <w:b/>
        </w:rPr>
        <w:t>实质性改进技术、产品（服务）、工艺</w:t>
      </w:r>
      <w:r>
        <w:t>而持续进行的具有明确目标的系统性活动。</w:t>
      </w:r>
    </w:p>
    <w:p w14:paraId="556E86C9">
      <w:pPr>
        <w:pStyle w:val="5"/>
      </w:pPr>
      <w:r>
        <w:t>不适用加计扣除的情形（负面清单节选）</w:t>
      </w:r>
    </w:p>
    <w:p w14:paraId="70A85B67">
      <w:pPr>
        <w:ind w:left="0" w:hanging="142"/>
      </w:pPr>
      <w:r>
        <w:rPr>
          <w:rFonts w:ascii="宋体" w:hAnsi="宋体" w:eastAsia="宋体"/>
          <w:color w:val="000000"/>
          <w:sz w:val="22"/>
        </w:rPr>
        <w:t xml:space="preserve">• </w:t>
      </w:r>
      <w:r>
        <w:t>对现存产品、服务、技术、材料或工艺流程进行的</w:t>
      </w:r>
      <w:r>
        <w:rPr>
          <w:b/>
        </w:rPr>
        <w:t>重复或简单改变</w:t>
      </w:r>
    </w:p>
    <w:p w14:paraId="10D872FB">
      <w:pPr>
        <w:ind w:left="0" w:hanging="142"/>
      </w:pPr>
      <w:r>
        <w:rPr>
          <w:rFonts w:ascii="宋体" w:hAnsi="宋体" w:eastAsia="宋体"/>
          <w:color w:val="000000"/>
          <w:sz w:val="22"/>
        </w:rPr>
        <w:t xml:space="preserve">• </w:t>
      </w:r>
      <w:r>
        <w:t>商品化后期的费用活动</w:t>
      </w:r>
    </w:p>
    <w:p w14:paraId="5D80EA17">
      <w:pPr>
        <w:ind w:left="0" w:hanging="142"/>
      </w:pPr>
      <w:r>
        <w:rPr>
          <w:rFonts w:ascii="宋体" w:hAnsi="宋体" w:eastAsia="宋体"/>
          <w:color w:val="000000"/>
          <w:sz w:val="22"/>
        </w:rPr>
        <w:t xml:space="preserve">• </w:t>
      </w:r>
      <w:r>
        <w:rPr>
          <w:b/>
        </w:rPr>
        <w:t>运用已知方法</w:t>
      </w:r>
      <w:r>
        <w:t>对现存产品进行简单改变或在研发中运用现有软件工具进行商业应用软件和信息系统的开发</w:t>
      </w:r>
    </w:p>
    <w:p w14:paraId="5D2B9E74">
      <w:pPr>
        <w:pStyle w:val="5"/>
      </w:pPr>
      <w:r>
        <w:t>鉴定专家判断的四要素</w:t>
      </w:r>
    </w:p>
    <w:p w14:paraId="4310550E">
      <w:pPr>
        <w:ind w:left="0" w:hanging="142"/>
      </w:pPr>
      <w:r>
        <w:rPr>
          <w:rFonts w:ascii="宋体" w:hAnsi="宋体" w:eastAsia="宋体"/>
          <w:color w:val="000000"/>
          <w:sz w:val="22"/>
        </w:rPr>
        <w:t xml:space="preserve">1. </w:t>
      </w:r>
      <w:r>
        <w:rPr>
          <w:b/>
        </w:rPr>
        <w:t>项目是否具有明确创新目标</w:t>
      </w:r>
      <w:r>
        <w:t>——是否旨在获得新知识或实质性改进</w:t>
      </w:r>
    </w:p>
    <w:p w14:paraId="0A8A3568">
      <w:pPr>
        <w:ind w:left="0" w:hanging="142"/>
      </w:pPr>
      <w:r>
        <w:rPr>
          <w:rFonts w:ascii="宋体" w:hAnsi="宋体" w:eastAsia="宋体"/>
          <w:color w:val="000000"/>
          <w:sz w:val="22"/>
        </w:rPr>
        <w:t xml:space="preserve">2. </w:t>
      </w:r>
      <w:r>
        <w:rPr>
          <w:b/>
        </w:rPr>
        <w:t>项目是否具有系统组织形式</w:t>
      </w:r>
      <w:r>
        <w:t>——是否有立项决议、研发团队、研发计划</w:t>
      </w:r>
    </w:p>
    <w:p w14:paraId="59D73392">
      <w:pPr>
        <w:ind w:left="0" w:hanging="142"/>
      </w:pPr>
      <w:r>
        <w:rPr>
          <w:rFonts w:ascii="宋体" w:hAnsi="宋体" w:eastAsia="宋体"/>
          <w:color w:val="000000"/>
          <w:sz w:val="22"/>
        </w:rPr>
        <w:t xml:space="preserve">3. </w:t>
      </w:r>
      <w:r>
        <w:rPr>
          <w:b/>
        </w:rPr>
        <w:t>研发结果是否具有不确定性</w:t>
      </w:r>
      <w:r>
        <w:t>——是否存在技术风险，需要反复试验验证</w:t>
      </w:r>
    </w:p>
    <w:p w14:paraId="5E00039B">
      <w:pPr>
        <w:ind w:left="0" w:hanging="142"/>
      </w:pPr>
      <w:r>
        <w:rPr>
          <w:rFonts w:ascii="宋体" w:hAnsi="宋体" w:eastAsia="宋体"/>
          <w:color w:val="000000"/>
          <w:sz w:val="22"/>
        </w:rPr>
        <w:t xml:space="preserve">4. </w:t>
      </w:r>
      <w:r>
        <w:rPr>
          <w:b/>
        </w:rPr>
        <w:t>佐证资料是否充分</w:t>
      </w:r>
      <w:r>
        <w:t>——实验记录、测试报告、技术文档等</w:t>
      </w:r>
    </w:p>
    <w:p w14:paraId="15056DCE">
      <w:pPr>
        <w:pStyle w:val="169"/>
        <w:pBdr>
          <w:top w:val="single" w:color="CCCCCC" w:sz="8" w:space="0"/>
        </w:pBdr>
        <w:spacing w:after="240"/>
      </w:pPr>
    </w:p>
    <w:p w14:paraId="2BFEE9CF">
      <w:pPr>
        <w:pStyle w:val="169"/>
        <w:pBdr>
          <w:top w:val="single" w:color="CCCCCC" w:sz="8" w:space="0"/>
        </w:pBdr>
        <w:spacing w:after="240"/>
      </w:pPr>
    </w:p>
    <w:p w14:paraId="2755AB39">
      <w:pPr>
        <w:pStyle w:val="169"/>
        <w:pBdr>
          <w:top w:val="single" w:color="CCCCCC" w:sz="8" w:space="0"/>
        </w:pBdr>
        <w:spacing w:after="240"/>
      </w:pPr>
    </w:p>
    <w:p w14:paraId="389566F6">
      <w:pPr>
        <w:pStyle w:val="169"/>
        <w:pBdr>
          <w:top w:val="single" w:color="CCCCCC" w:sz="8" w:space="0"/>
        </w:pBdr>
        <w:spacing w:after="240"/>
      </w:pPr>
    </w:p>
    <w:p w14:paraId="43BA7531">
      <w:pPr>
        <w:pStyle w:val="169"/>
        <w:pBdr>
          <w:top w:val="single" w:color="CCCCCC" w:sz="8" w:space="0"/>
        </w:pBdr>
        <w:spacing w:after="240"/>
      </w:pPr>
    </w:p>
    <w:p w14:paraId="09202735">
      <w:pPr>
        <w:pStyle w:val="4"/>
      </w:pPr>
      <w:r>
        <w:t>二、逐项目审查（原版诊断 + 当前状态）</w:t>
      </w:r>
    </w:p>
    <w:p w14:paraId="3E1AB511">
      <w:pPr>
        <w:pStyle w:val="5"/>
      </w:pPr>
      <w:r>
        <w:t>项目1：极企智能楼宇通行系统研发（JQ2024001）</w:t>
      </w:r>
    </w:p>
    <w:p w14:paraId="7E9C5D3B">
      <w:r>
        <w:rPr>
          <w:b/>
        </w:rPr>
        <w:t>原版审查（风险等级：🔴 高风险）：</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71"/>
        <w:gridCol w:w="2771"/>
        <w:gridCol w:w="2771"/>
      </w:tblGrid>
      <w:tr w14:paraId="6BF5D0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771" w:type="dxa"/>
            <w:shd w:val="clear" w:color="auto" w:fill="F2F2F2"/>
          </w:tcPr>
          <w:p w14:paraId="7F3A25E7">
            <w:pPr>
              <w:jc w:val="left"/>
            </w:pPr>
            <w:r>
              <w:rPr>
                <w:b/>
              </w:rPr>
              <w:t>项目</w:t>
            </w:r>
          </w:p>
        </w:tc>
        <w:tc>
          <w:tcPr>
            <w:tcW w:w="2771" w:type="dxa"/>
            <w:shd w:val="clear" w:color="auto" w:fill="F2F2F2"/>
          </w:tcPr>
          <w:p w14:paraId="268207D9">
            <w:pPr>
              <w:jc w:val="left"/>
            </w:pPr>
            <w:r>
              <w:rPr>
                <w:b/>
              </w:rPr>
              <w:t>原文内容</w:t>
            </w:r>
          </w:p>
        </w:tc>
        <w:tc>
          <w:tcPr>
            <w:tcW w:w="2771" w:type="dxa"/>
            <w:shd w:val="clear" w:color="auto" w:fill="F2F2F2"/>
          </w:tcPr>
          <w:p w14:paraId="6566BE5B">
            <w:pPr>
              <w:jc w:val="left"/>
            </w:pPr>
            <w:r>
              <w:rPr>
                <w:b/>
              </w:rPr>
              <w:t>问题诊断</w:t>
            </w:r>
          </w:p>
        </w:tc>
      </w:tr>
      <w:tr w14:paraId="04A814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5B61BFB4">
            <w:pPr>
              <w:jc w:val="left"/>
            </w:pPr>
            <w:r>
              <w:t>核心技术</w:t>
            </w:r>
          </w:p>
        </w:tc>
        <w:tc>
          <w:tcPr>
            <w:tcW w:w="2771" w:type="dxa"/>
          </w:tcPr>
          <w:p w14:paraId="0B40F8CE">
            <w:pPr>
              <w:jc w:val="left"/>
            </w:pPr>
            <w:r>
              <w:t>多模态生物识别技术、设备协议适配技术、权限动态分发技术、云端数据同步与存储技术</w:t>
            </w:r>
          </w:p>
        </w:tc>
        <w:tc>
          <w:tcPr>
            <w:tcW w:w="2771" w:type="dxa"/>
          </w:tcPr>
          <w:p w14:paraId="5A4E55EB">
            <w:pPr>
              <w:jc w:val="left"/>
            </w:pPr>
            <w:r>
              <w:t>"云端数据同步与存储"是成熟通用技术；"多模态生物识别"表述笼统</w:t>
            </w:r>
          </w:p>
        </w:tc>
      </w:tr>
      <w:tr w14:paraId="0E76C3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13F3247B">
            <w:pPr>
              <w:jc w:val="left"/>
            </w:pPr>
            <w:r>
              <w:t>创新点</w:t>
            </w:r>
          </w:p>
        </w:tc>
        <w:tc>
          <w:tcPr>
            <w:tcW w:w="2771" w:type="dxa"/>
          </w:tcPr>
          <w:p w14:paraId="32A47DA0">
            <w:pPr>
              <w:jc w:val="left"/>
            </w:pPr>
            <w:r>
              <w:t>全域统一权限管理、兼容市面主流硬件、通行数据全程留痕+预警、可视化看板</w:t>
            </w:r>
          </w:p>
        </w:tc>
        <w:tc>
          <w:tcPr>
            <w:tcW w:w="2771" w:type="dxa"/>
          </w:tcPr>
          <w:p w14:paraId="728F3DD5">
            <w:pPr>
              <w:jc w:val="left"/>
            </w:pPr>
            <w:r>
              <w:t>均为产品功能描述，非技术创新</w:t>
            </w:r>
          </w:p>
        </w:tc>
      </w:tr>
      <w:tr w14:paraId="40AAF3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497BAAF0">
            <w:pPr>
              <w:jc w:val="left"/>
            </w:pPr>
            <w:r>
              <w:t>不确定性</w:t>
            </w:r>
          </w:p>
        </w:tc>
        <w:tc>
          <w:tcPr>
            <w:tcW w:w="2771" w:type="dxa"/>
          </w:tcPr>
          <w:p w14:paraId="48ECF062">
            <w:pPr>
              <w:jc w:val="left"/>
            </w:pPr>
            <w:r>
              <w:t>未体现</w:t>
            </w:r>
          </w:p>
        </w:tc>
        <w:tc>
          <w:tcPr>
            <w:tcW w:w="2771" w:type="dxa"/>
          </w:tcPr>
          <w:p w14:paraId="767E2D5D">
            <w:pPr>
              <w:jc w:val="left"/>
            </w:pPr>
            <w:r>
              <w:t>无技术难点、失败尝试、迭代攻关描述</w:t>
            </w:r>
          </w:p>
        </w:tc>
      </w:tr>
    </w:tbl>
    <w:p w14:paraId="7D5F0238"/>
    <w:p w14:paraId="0F8C738D">
      <w:r>
        <w:rPr>
          <w:b/>
        </w:rPr>
        <w:t>当前状态：🟢 风险已大幅降低</w:t>
      </w:r>
    </w:p>
    <w:p w14:paraId="7923AC72">
      <w:r>
        <w:t>已完成的补救措施：</w:t>
      </w:r>
    </w:p>
    <w:p w14:paraId="18ECB7FC">
      <w:pPr>
        <w:ind w:left="0" w:hanging="142"/>
      </w:pPr>
      <w:r>
        <w:rPr>
          <w:rFonts w:ascii="宋体" w:hAnsi="宋体" w:eastAsia="宋体"/>
          <w:color w:val="000000"/>
          <w:sz w:val="22"/>
        </w:rPr>
        <w:t xml:space="preserve">• </w:t>
      </w:r>
      <w:r>
        <w:t>✅ 基于软著申请表实际内容重写了技术补充说明（v3版）</w:t>
      </w:r>
    </w:p>
    <w:p w14:paraId="315B23F1">
      <w:pPr>
        <w:ind w:left="0" w:hanging="142"/>
      </w:pPr>
      <w:r>
        <w:rPr>
          <w:rFonts w:ascii="宋体" w:hAnsi="宋体" w:eastAsia="宋体"/>
          <w:color w:val="000000"/>
          <w:sz w:val="22"/>
        </w:rPr>
        <w:t xml:space="preserve">• </w:t>
      </w:r>
      <w:r>
        <w:t>✅ 核心技术重新定位为三项：多模态通行核验调度技术、多品牌设备统一接入与权限同步技术、门禁-梯控联动派梯技术</w:t>
      </w:r>
    </w:p>
    <w:p w14:paraId="4EC25CB8">
      <w:pPr>
        <w:ind w:left="0" w:hanging="142"/>
      </w:pPr>
      <w:r>
        <w:rPr>
          <w:rFonts w:ascii="宋体" w:hAnsi="宋体" w:eastAsia="宋体"/>
          <w:color w:val="000000"/>
          <w:sz w:val="22"/>
        </w:rPr>
        <w:t xml:space="preserve">• </w:t>
      </w:r>
      <w:r>
        <w:t>✅ 技术不确定性说明已补充（离线权限同步一致性、多模态降级容错、跨设备联动时序）</w:t>
      </w:r>
    </w:p>
    <w:p w14:paraId="20BC0FC9">
      <w:pPr>
        <w:ind w:left="0" w:hanging="142"/>
      </w:pPr>
      <w:r>
        <w:rPr>
          <w:rFonts w:ascii="宋体" w:hAnsi="宋体" w:eastAsia="宋体"/>
          <w:color w:val="000000"/>
          <w:sz w:val="22"/>
        </w:rPr>
        <w:t xml:space="preserve">• </w:t>
      </w:r>
      <w:r>
        <w:t>✅ 清除了"基于AIoT底座"的危险表述</w:t>
      </w:r>
    </w:p>
    <w:p w14:paraId="468E9010">
      <w:pPr>
        <w:ind w:left="0" w:hanging="142"/>
      </w:pPr>
      <w:r>
        <w:rPr>
          <w:rFonts w:ascii="宋体" w:hAnsi="宋体" w:eastAsia="宋体"/>
          <w:color w:val="000000"/>
          <w:sz w:val="22"/>
        </w:rPr>
        <w:t xml:space="preserve">• </w:t>
      </w:r>
      <w:r>
        <w:t>✅ 软著登记申请已提交（2026年4月，审核中），以受理通知书作为"申报文件"</w:t>
      </w:r>
    </w:p>
    <w:p w14:paraId="357389D0">
      <w:r>
        <w:t>仍需注意：</w:t>
      </w:r>
    </w:p>
    <w:p w14:paraId="7F8D2EB9">
      <w:pPr>
        <w:ind w:left="0" w:hanging="142"/>
        <w:rPr>
          <w:highlight w:val="yellow"/>
        </w:rPr>
      </w:pPr>
      <w:r>
        <w:rPr>
          <w:rFonts w:ascii="宋体" w:hAnsi="宋体" w:eastAsia="宋体"/>
          <w:color w:val="000000"/>
          <w:sz w:val="22"/>
          <w:highlight w:val="yellow"/>
        </w:rPr>
        <w:t xml:space="preserve">• </w:t>
      </w:r>
      <w:r>
        <w:rPr>
          <w:highlight w:val="yellow"/>
        </w:rPr>
        <w:t>技术补充说明中的[X]占位符需根据实际数据填写</w:t>
      </w:r>
    </w:p>
    <w:p w14:paraId="6951E6C2">
      <w:pPr>
        <w:ind w:left="0" w:hanging="142"/>
      </w:pPr>
      <w:r>
        <w:rPr>
          <w:rFonts w:ascii="宋体" w:hAnsi="宋体" w:eastAsia="宋体"/>
          <w:color w:val="000000"/>
          <w:sz w:val="22"/>
        </w:rPr>
        <w:t xml:space="preserve">• </w:t>
      </w:r>
      <w:r>
        <w:t>建议优先对通行系统做科技查新</w:t>
      </w:r>
      <w:r>
        <w:rPr>
          <w:rFonts w:hint="eastAsia"/>
          <w:highlight w:val="yellow"/>
          <w:lang w:val="en-US" w:eastAsia="zh-CN"/>
        </w:rPr>
        <w:t xml:space="preserve">(出具报告5-7个工作日，时间有限，无法提供） </w:t>
      </w:r>
    </w:p>
    <w:p w14:paraId="38DA344F">
      <w:pPr>
        <w:pStyle w:val="5"/>
      </w:pPr>
    </w:p>
    <w:p w14:paraId="26C6D256"/>
    <w:p w14:paraId="55D4535F"/>
    <w:p w14:paraId="7BF67E6E">
      <w:pPr>
        <w:pStyle w:val="5"/>
      </w:pPr>
    </w:p>
    <w:p w14:paraId="5CCF5392">
      <w:pPr>
        <w:pStyle w:val="5"/>
      </w:pPr>
      <w:r>
        <w:t>项目2：极企智能楼宇访客系统研发（JQ2024002）</w:t>
      </w:r>
    </w:p>
    <w:p w14:paraId="513B2493">
      <w:r>
        <w:rPr>
          <w:b/>
        </w:rPr>
        <w:t>原版审查（风险等级：🔴🔴 极高风险）：</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71"/>
        <w:gridCol w:w="2771"/>
        <w:gridCol w:w="2771"/>
      </w:tblGrid>
      <w:tr w14:paraId="3211D9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shd w:val="clear" w:color="auto" w:fill="F2F2F2"/>
          </w:tcPr>
          <w:p w14:paraId="3687024A">
            <w:pPr>
              <w:jc w:val="left"/>
            </w:pPr>
            <w:r>
              <w:rPr>
                <w:b/>
              </w:rPr>
              <w:t>项目</w:t>
            </w:r>
          </w:p>
        </w:tc>
        <w:tc>
          <w:tcPr>
            <w:tcW w:w="2771" w:type="dxa"/>
            <w:shd w:val="clear" w:color="auto" w:fill="F2F2F2"/>
          </w:tcPr>
          <w:p w14:paraId="15BA0EA3">
            <w:pPr>
              <w:jc w:val="left"/>
            </w:pPr>
            <w:r>
              <w:rPr>
                <w:b/>
              </w:rPr>
              <w:t>原文内容</w:t>
            </w:r>
          </w:p>
        </w:tc>
        <w:tc>
          <w:tcPr>
            <w:tcW w:w="2771" w:type="dxa"/>
            <w:shd w:val="clear" w:color="auto" w:fill="F2F2F2"/>
          </w:tcPr>
          <w:p w14:paraId="008532E1">
            <w:pPr>
              <w:jc w:val="left"/>
            </w:pPr>
            <w:r>
              <w:rPr>
                <w:b/>
              </w:rPr>
              <w:t>问题诊断</w:t>
            </w:r>
          </w:p>
        </w:tc>
      </w:tr>
      <w:tr w14:paraId="32E877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5E7D09AC">
            <w:pPr>
              <w:jc w:val="left"/>
            </w:pPr>
            <w:r>
              <w:t>核心技术</w:t>
            </w:r>
          </w:p>
        </w:tc>
        <w:tc>
          <w:tcPr>
            <w:tcW w:w="2771" w:type="dxa"/>
          </w:tcPr>
          <w:p w14:paraId="51826F4C">
            <w:pPr>
              <w:jc w:val="left"/>
            </w:pPr>
            <w:r>
              <w:t>在线表单交互技术、流程引擎审批技术、临时权限自动生成与回收技术、数据加密存储技术</w:t>
            </w:r>
          </w:p>
        </w:tc>
        <w:tc>
          <w:tcPr>
            <w:tcW w:w="2771" w:type="dxa"/>
          </w:tcPr>
          <w:p w14:paraId="3C23C907">
            <w:pPr>
              <w:jc w:val="left"/>
            </w:pPr>
            <w:r>
              <w:t>"在线表单""流程引擎""数据加密"是极其成熟的通用技术</w:t>
            </w:r>
          </w:p>
        </w:tc>
      </w:tr>
      <w:tr w14:paraId="7883F5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0ECA1DEF">
            <w:pPr>
              <w:jc w:val="left"/>
            </w:pPr>
            <w:r>
              <w:t>创新点</w:t>
            </w:r>
          </w:p>
        </w:tc>
        <w:tc>
          <w:tcPr>
            <w:tcW w:w="2771" w:type="dxa"/>
          </w:tcPr>
          <w:p w14:paraId="1A7347DA">
            <w:pPr>
              <w:jc w:val="left"/>
            </w:pPr>
            <w:r>
              <w:t>全流程无纸化、权限时效管控、数据集中管理、与门禁联动</w:t>
            </w:r>
          </w:p>
        </w:tc>
        <w:tc>
          <w:tcPr>
            <w:tcW w:w="2771" w:type="dxa"/>
          </w:tcPr>
          <w:p w14:paraId="48316193">
            <w:pPr>
              <w:jc w:val="left"/>
            </w:pPr>
            <w:r>
              <w:t>全部为产品功能描述</w:t>
            </w:r>
          </w:p>
        </w:tc>
      </w:tr>
      <w:tr w14:paraId="61F1C0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20A63118">
            <w:pPr>
              <w:jc w:val="left"/>
            </w:pPr>
            <w:r>
              <w:t>研发目标</w:t>
            </w:r>
          </w:p>
        </w:tc>
        <w:tc>
          <w:tcPr>
            <w:tcW w:w="2771" w:type="dxa"/>
          </w:tcPr>
          <w:p w14:paraId="0D4D83CC">
            <w:pPr>
              <w:jc w:val="left"/>
            </w:pPr>
            <w:r>
              <w:t>开发全流程线上化智能访客管理系统</w:t>
            </w:r>
          </w:p>
        </w:tc>
        <w:tc>
          <w:tcPr>
            <w:tcW w:w="2771" w:type="dxa"/>
          </w:tcPr>
          <w:p w14:paraId="532EE521">
            <w:pPr>
              <w:jc w:val="left"/>
            </w:pPr>
            <w:r>
              <w:t>典型的"线上化改造"</w:t>
            </w:r>
          </w:p>
        </w:tc>
      </w:tr>
    </w:tbl>
    <w:p w14:paraId="6E52F2D8"/>
    <w:p w14:paraId="411D90F9">
      <w:r>
        <w:rPr>
          <w:b/>
        </w:rPr>
        <w:t>当前状态：🟡 风险已降低但仍需警惕</w:t>
      </w:r>
    </w:p>
    <w:p w14:paraId="780B7EF6">
      <w:r>
        <w:t>已完成的补救措施：</w:t>
      </w:r>
    </w:p>
    <w:p w14:paraId="6B60E641">
      <w:pPr>
        <w:ind w:left="0" w:hanging="142"/>
      </w:pPr>
      <w:r>
        <w:rPr>
          <w:rFonts w:ascii="宋体" w:hAnsi="宋体" w:eastAsia="宋体"/>
          <w:color w:val="000000"/>
          <w:sz w:val="22"/>
        </w:rPr>
        <w:t xml:space="preserve">• </w:t>
      </w:r>
      <w:r>
        <w:t>✅ 核心叙事重新定位：</w:t>
      </w:r>
      <w:r>
        <w:rPr>
          <w:b/>
        </w:rPr>
        <w:t>"不是访客流程线上化，而是临时通行权限全生命周期的安全闭环管控——物联网访问控制与分布式一致性问题"</w:t>
      </w:r>
    </w:p>
    <w:p w14:paraId="2FB4D5C7">
      <w:pPr>
        <w:ind w:left="0" w:hanging="142"/>
      </w:pPr>
      <w:r>
        <w:rPr>
          <w:rFonts w:ascii="宋体" w:hAnsi="宋体" w:eastAsia="宋体"/>
          <w:color w:val="000000"/>
          <w:sz w:val="22"/>
        </w:rPr>
        <w:t xml:space="preserve">• </w:t>
      </w:r>
      <w:r>
        <w:t>✅ 强化了临时权限与常驻权限的本质区别（跨系统原子性、离线权限回收、增量同步）</w:t>
      </w:r>
    </w:p>
    <w:p w14:paraId="1E868413">
      <w:pPr>
        <w:ind w:left="0" w:hanging="142"/>
      </w:pPr>
      <w:r>
        <w:rPr>
          <w:rFonts w:ascii="宋体" w:hAnsi="宋体" w:eastAsia="宋体"/>
          <w:color w:val="000000"/>
          <w:sz w:val="22"/>
        </w:rPr>
        <w:t xml:space="preserve">• </w:t>
      </w:r>
      <w:r>
        <w:t>✅ 技术不确定性补充了"分布式一致性问题"——权限下发与回收的原子性和最终一致性</w:t>
      </w:r>
    </w:p>
    <w:p w14:paraId="009BE16D">
      <w:pPr>
        <w:ind w:left="0" w:hanging="142"/>
      </w:pPr>
      <w:r>
        <w:rPr>
          <w:rFonts w:ascii="宋体" w:hAnsi="宋体" w:eastAsia="宋体"/>
          <w:color w:val="000000"/>
          <w:sz w:val="22"/>
        </w:rPr>
        <w:t xml:space="preserve">• </w:t>
      </w:r>
      <w:r>
        <w:t>✅ 动态二维码防伪补充了"最优刷新间隔和校验策略需实测调优"</w:t>
      </w:r>
    </w:p>
    <w:p w14:paraId="296EDD41">
      <w:pPr>
        <w:ind w:left="0" w:hanging="142"/>
      </w:pPr>
      <w:r>
        <w:rPr>
          <w:rFonts w:ascii="宋体" w:hAnsi="宋体" w:eastAsia="宋体"/>
          <w:color w:val="000000"/>
          <w:sz w:val="22"/>
        </w:rPr>
        <w:t xml:space="preserve">• </w:t>
      </w:r>
      <w:r>
        <w:t>✅ 与通行系统的关系从"框架复用"改为"API业务联动"，强调各自独立开发</w:t>
      </w:r>
    </w:p>
    <w:p w14:paraId="35F53BBB">
      <w:r>
        <w:t>仍需注意：</w:t>
      </w:r>
    </w:p>
    <w:p w14:paraId="45BFF4E2">
      <w:pPr>
        <w:ind w:left="0" w:hanging="142"/>
      </w:pPr>
      <w:r>
        <w:rPr>
          <w:rFonts w:ascii="宋体" w:hAnsi="宋体" w:eastAsia="宋体"/>
          <w:color w:val="000000"/>
          <w:sz w:val="22"/>
        </w:rPr>
        <w:t xml:space="preserve">• </w:t>
      </w:r>
      <w:r>
        <w:t>专家可能质疑"访客系统与通行系统都对接门禁设备，为何不复用"——应对口径：访客系统只涉及"临时权限下发→到期回收"特定场景，和通行系统的"常驻权限全生命周期管理"是不同业务逻辑</w:t>
      </w:r>
    </w:p>
    <w:p w14:paraId="638C6BEC">
      <w:pPr>
        <w:ind w:left="0" w:hanging="142"/>
      </w:pPr>
      <w:r>
        <w:rPr>
          <w:rFonts w:ascii="宋体" w:hAnsi="宋体" w:eastAsia="宋体"/>
          <w:color w:val="000000"/>
          <w:sz w:val="22"/>
        </w:rPr>
        <w:t xml:space="preserve">• </w:t>
      </w:r>
      <w:r>
        <w:t>软著登记申请已提交（2026年4月，审核中）</w:t>
      </w:r>
    </w:p>
    <w:p w14:paraId="3F801341">
      <w:pPr>
        <w:ind w:left="0" w:hanging="142"/>
      </w:pPr>
    </w:p>
    <w:p w14:paraId="6464619E">
      <w:pPr>
        <w:ind w:left="0" w:hanging="142"/>
      </w:pPr>
    </w:p>
    <w:p w14:paraId="5A5F1155">
      <w:pPr>
        <w:ind w:left="0" w:hanging="142"/>
      </w:pPr>
    </w:p>
    <w:p w14:paraId="6B224AB0">
      <w:pPr>
        <w:pStyle w:val="5"/>
      </w:pPr>
    </w:p>
    <w:p w14:paraId="647DBA94">
      <w:pPr>
        <w:pStyle w:val="5"/>
      </w:pPr>
      <w:r>
        <w:t>项目3：极企智能楼宇空间预约系统研发（JQ2024003）</w:t>
      </w:r>
    </w:p>
    <w:p w14:paraId="6A7AB394">
      <w:r>
        <w:rPr>
          <w:b/>
        </w:rPr>
        <w:t>原版审查（风险等级：🔴🔴 极高风险）：</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71"/>
        <w:gridCol w:w="2771"/>
        <w:gridCol w:w="2771"/>
      </w:tblGrid>
      <w:tr w14:paraId="5F885A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shd w:val="clear" w:color="auto" w:fill="F2F2F2"/>
          </w:tcPr>
          <w:p w14:paraId="4643F311">
            <w:pPr>
              <w:jc w:val="left"/>
            </w:pPr>
            <w:r>
              <w:rPr>
                <w:b/>
              </w:rPr>
              <w:t>项目</w:t>
            </w:r>
          </w:p>
        </w:tc>
        <w:tc>
          <w:tcPr>
            <w:tcW w:w="2771" w:type="dxa"/>
            <w:shd w:val="clear" w:color="auto" w:fill="F2F2F2"/>
          </w:tcPr>
          <w:p w14:paraId="59F386D6">
            <w:pPr>
              <w:jc w:val="left"/>
            </w:pPr>
            <w:r>
              <w:rPr>
                <w:b/>
              </w:rPr>
              <w:t>原文内容</w:t>
            </w:r>
          </w:p>
        </w:tc>
        <w:tc>
          <w:tcPr>
            <w:tcW w:w="2771" w:type="dxa"/>
            <w:shd w:val="clear" w:color="auto" w:fill="F2F2F2"/>
          </w:tcPr>
          <w:p w14:paraId="46F139A4">
            <w:pPr>
              <w:jc w:val="left"/>
            </w:pPr>
            <w:r>
              <w:rPr>
                <w:b/>
              </w:rPr>
              <w:t>问题诊断</w:t>
            </w:r>
          </w:p>
        </w:tc>
      </w:tr>
      <w:tr w14:paraId="364B64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47310A6F">
            <w:pPr>
              <w:jc w:val="left"/>
            </w:pPr>
            <w:r>
              <w:t>核心技术</w:t>
            </w:r>
          </w:p>
        </w:tc>
        <w:tc>
          <w:tcPr>
            <w:tcW w:w="2771" w:type="dxa"/>
          </w:tcPr>
          <w:p w14:paraId="64430A8B">
            <w:pPr>
              <w:jc w:val="left"/>
            </w:pPr>
            <w:r>
              <w:t>资源排程算法、消息推送技术、状态实时同步技术、大数据统计分析技术</w:t>
            </w:r>
          </w:p>
        </w:tc>
        <w:tc>
          <w:tcPr>
            <w:tcW w:w="2771" w:type="dxa"/>
          </w:tcPr>
          <w:p w14:paraId="7B65E6E9">
            <w:pPr>
              <w:jc w:val="left"/>
            </w:pPr>
            <w:r>
              <w:t>"资源排程"是经典算法；"大数据统计"明显夸大</w:t>
            </w:r>
          </w:p>
        </w:tc>
      </w:tr>
      <w:tr w14:paraId="11EEF9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278997EE">
            <w:pPr>
              <w:jc w:val="left"/>
            </w:pPr>
            <w:r>
              <w:t>创新点</w:t>
            </w:r>
          </w:p>
        </w:tc>
        <w:tc>
          <w:tcPr>
            <w:tcW w:w="2771" w:type="dxa"/>
          </w:tcPr>
          <w:p w14:paraId="0C3771CC">
            <w:pPr>
              <w:jc w:val="left"/>
            </w:pPr>
            <w:r>
              <w:t>智能排程算法、多终端适配、实时状态展示、自动报表</w:t>
            </w:r>
          </w:p>
        </w:tc>
        <w:tc>
          <w:tcPr>
            <w:tcW w:w="2771" w:type="dxa"/>
          </w:tcPr>
          <w:p w14:paraId="11BEFB5A">
            <w:pPr>
              <w:jc w:val="left"/>
            </w:pPr>
            <w:r>
              <w:t>均为常规软件功能</w:t>
            </w:r>
          </w:p>
        </w:tc>
      </w:tr>
    </w:tbl>
    <w:p w14:paraId="19C93FAA"/>
    <w:p w14:paraId="47AF6A3E">
      <w:r>
        <w:rPr>
          <w:b/>
        </w:rPr>
        <w:t>当前状态：🟡 风险已降低但仍为5个应用系统中最高</w:t>
      </w:r>
    </w:p>
    <w:p w14:paraId="6BDEA9A4">
      <w:r>
        <w:t>已完成的补救措施：</w:t>
      </w:r>
    </w:p>
    <w:p w14:paraId="39FD33B4">
      <w:pPr>
        <w:ind w:left="0" w:hanging="142"/>
      </w:pPr>
      <w:r>
        <w:rPr>
          <w:rFonts w:ascii="宋体" w:hAnsi="宋体" w:eastAsia="宋体"/>
          <w:color w:val="000000"/>
          <w:sz w:val="22"/>
        </w:rPr>
        <w:t xml:space="preserve">• </w:t>
      </w:r>
      <w:r>
        <w:t>✅ 核心叙事重新定位：</w:t>
      </w:r>
      <w:r>
        <w:rPr>
          <w:b/>
        </w:rPr>
        <w:t>"不是通用排程，是面向楼宇空间的多维约束组合排程+预约-传感器状态同步"</w:t>
      </w:r>
    </w:p>
    <w:p w14:paraId="3357EF57">
      <w:pPr>
        <w:ind w:left="0" w:hanging="142"/>
      </w:pPr>
      <w:r>
        <w:rPr>
          <w:rFonts w:ascii="宋体" w:hAnsi="宋体" w:eastAsia="宋体"/>
          <w:color w:val="000000"/>
          <w:sz w:val="22"/>
        </w:rPr>
        <w:t xml:space="preserve">• </w:t>
      </w:r>
      <w:r>
        <w:t>✅ 明确指出"通用排程算法仅做时间重叠检测+容量判断，无法处理多约束组合场景"</w:t>
      </w:r>
    </w:p>
    <w:p w14:paraId="2D4A2AB7">
      <w:pPr>
        <w:ind w:left="0" w:hanging="142"/>
      </w:pPr>
      <w:r>
        <w:rPr>
          <w:rFonts w:ascii="宋体" w:hAnsi="宋体" w:eastAsia="宋体"/>
          <w:color w:val="000000"/>
          <w:sz w:val="22"/>
        </w:rPr>
        <w:t xml:space="preserve">• </w:t>
      </w:r>
      <w:r>
        <w:t>✅ 约束维度具体化：时间+容量+预约规则（部门专属时段/最长时长/提前天数）+设备配套需求</w:t>
      </w:r>
    </w:p>
    <w:p w14:paraId="4C68585F">
      <w:pPr>
        <w:ind w:left="0" w:hanging="142"/>
      </w:pPr>
      <w:r>
        <w:rPr>
          <w:rFonts w:ascii="宋体" w:hAnsi="宋体" w:eastAsia="宋体"/>
          <w:color w:val="000000"/>
          <w:sz w:val="22"/>
        </w:rPr>
        <w:t xml:space="preserve">• </w:t>
      </w:r>
      <w:r>
        <w:t>✅ 新增"预约状态机与传感器状态同步机制"——处理预约未到场、超时占用、传感器误报等边界场景</w:t>
      </w:r>
    </w:p>
    <w:p w14:paraId="45EED038">
      <w:pPr>
        <w:ind w:left="0" w:hanging="142"/>
      </w:pPr>
      <w:r>
        <w:rPr>
          <w:rFonts w:ascii="宋体" w:hAnsi="宋体" w:eastAsia="宋体"/>
          <w:color w:val="000000"/>
          <w:sz w:val="22"/>
        </w:rPr>
        <w:t xml:space="preserve">• </w:t>
      </w:r>
      <w:r>
        <w:t>✅ 技术不确定性补充了多维约束组合排程算法和预约-传感器状态同步机制</w:t>
      </w:r>
    </w:p>
    <w:p w14:paraId="6F7AA8D7">
      <w:pPr>
        <w:ind w:left="0" w:hanging="142"/>
      </w:pPr>
      <w:r>
        <w:rPr>
          <w:rFonts w:ascii="宋体" w:hAnsi="宋体" w:eastAsia="宋体"/>
          <w:color w:val="000000"/>
          <w:sz w:val="22"/>
        </w:rPr>
        <w:t xml:space="preserve">• </w:t>
      </w:r>
      <w:r>
        <w:t>✅ 与会议室系统的技术差异说明已补充</w:t>
      </w:r>
    </w:p>
    <w:p w14:paraId="0F6561C1">
      <w:r>
        <w:t>仍需注意：</w:t>
      </w:r>
    </w:p>
    <w:p w14:paraId="66BED7BF">
      <w:pPr>
        <w:ind w:left="0" w:hanging="142"/>
      </w:pPr>
      <w:r>
        <w:rPr>
          <w:rFonts w:ascii="宋体" w:hAnsi="宋体" w:eastAsia="宋体"/>
          <w:color w:val="000000"/>
          <w:sz w:val="22"/>
        </w:rPr>
        <w:t xml:space="preserve">• </w:t>
      </w:r>
      <w:r>
        <w:rPr>
          <w:b/>
        </w:rPr>
        <w:t>5个应用系统中三新论证仍最弱</w:t>
      </w:r>
      <w:r>
        <w:t>——预约+建模+排程是成熟领域，专家仍可能认定"运用现有技术进行商业应用软件开发"</w:t>
      </w:r>
    </w:p>
    <w:p w14:paraId="62BD53E8">
      <w:pPr>
        <w:ind w:left="0" w:hanging="142"/>
      </w:pPr>
      <w:r>
        <w:rPr>
          <w:rFonts w:ascii="宋体" w:hAnsi="宋体" w:eastAsia="宋体"/>
          <w:color w:val="000000"/>
          <w:sz w:val="22"/>
        </w:rPr>
        <w:t xml:space="preserve">• </w:t>
      </w:r>
      <w:r>
        <w:t>创新点已强化为"多维约束组合排程算法+预约-传感器状态同步机制，现有通用预约系统不具备上述能力"——但专家是否认可取决于答辩表现</w:t>
      </w:r>
    </w:p>
    <w:p w14:paraId="4B4B9261">
      <w:pPr>
        <w:ind w:left="0" w:hanging="142"/>
      </w:pPr>
      <w:r>
        <w:rPr>
          <w:rFonts w:ascii="宋体" w:hAnsi="宋体" w:eastAsia="宋体"/>
          <w:color w:val="000000"/>
          <w:sz w:val="22"/>
        </w:rPr>
        <w:t xml:space="preserve">• </w:t>
      </w:r>
      <w:r>
        <w:t>软著登记申请已提交（2026年4月，审核中）</w:t>
      </w:r>
    </w:p>
    <w:p w14:paraId="1B340518">
      <w:pPr>
        <w:ind w:left="0" w:hanging="142"/>
      </w:pPr>
    </w:p>
    <w:p w14:paraId="54920227">
      <w:pPr>
        <w:ind w:left="0" w:hanging="142"/>
      </w:pPr>
    </w:p>
    <w:p w14:paraId="75CEEF84">
      <w:pPr>
        <w:ind w:left="0" w:hanging="142"/>
      </w:pPr>
    </w:p>
    <w:p w14:paraId="4D561203">
      <w:pPr>
        <w:ind w:left="0" w:hanging="142"/>
      </w:pPr>
    </w:p>
    <w:p w14:paraId="397E5538">
      <w:pPr>
        <w:pStyle w:val="5"/>
      </w:pPr>
      <w:r>
        <w:t>项目4：极企智能楼宇会议室系统研发（JQ2025001）</w:t>
      </w:r>
    </w:p>
    <w:p w14:paraId="45672FF4">
      <w:r>
        <w:rPr>
          <w:b/>
        </w:rPr>
        <w:t>原版审查（风险等级：🔴🔴 极高风险）：</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71"/>
        <w:gridCol w:w="2771"/>
        <w:gridCol w:w="2771"/>
      </w:tblGrid>
      <w:tr w14:paraId="4995EA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shd w:val="clear" w:color="auto" w:fill="F2F2F2"/>
          </w:tcPr>
          <w:p w14:paraId="75F4E2BD">
            <w:pPr>
              <w:jc w:val="left"/>
            </w:pPr>
            <w:r>
              <w:rPr>
                <w:b/>
              </w:rPr>
              <w:t>项目</w:t>
            </w:r>
          </w:p>
        </w:tc>
        <w:tc>
          <w:tcPr>
            <w:tcW w:w="2771" w:type="dxa"/>
            <w:shd w:val="clear" w:color="auto" w:fill="F2F2F2"/>
          </w:tcPr>
          <w:p w14:paraId="4B3BCB34">
            <w:pPr>
              <w:jc w:val="left"/>
            </w:pPr>
            <w:r>
              <w:rPr>
                <w:b/>
              </w:rPr>
              <w:t>原文内容</w:t>
            </w:r>
          </w:p>
        </w:tc>
        <w:tc>
          <w:tcPr>
            <w:tcW w:w="2771" w:type="dxa"/>
            <w:shd w:val="clear" w:color="auto" w:fill="F2F2F2"/>
          </w:tcPr>
          <w:p w14:paraId="795EF8F9">
            <w:pPr>
              <w:jc w:val="left"/>
            </w:pPr>
            <w:r>
              <w:rPr>
                <w:b/>
              </w:rPr>
              <w:t>问题诊断</w:t>
            </w:r>
          </w:p>
        </w:tc>
      </w:tr>
      <w:tr w14:paraId="653122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7BD77F51">
            <w:pPr>
              <w:jc w:val="left"/>
            </w:pPr>
            <w:r>
              <w:t>核心技术</w:t>
            </w:r>
          </w:p>
        </w:tc>
        <w:tc>
          <w:tcPr>
            <w:tcW w:w="2771" w:type="dxa"/>
          </w:tcPr>
          <w:p w14:paraId="6196EB85">
            <w:pPr>
              <w:jc w:val="left"/>
            </w:pPr>
            <w:r>
              <w:t>场景化流程定制技术、硬件联动控制技术、智能提醒服务技术、权限分级管理技术</w:t>
            </w:r>
          </w:p>
        </w:tc>
        <w:tc>
          <w:tcPr>
            <w:tcW w:w="2771" w:type="dxa"/>
          </w:tcPr>
          <w:p w14:paraId="48B8EFDD">
            <w:pPr>
              <w:jc w:val="left"/>
            </w:pPr>
            <w:r>
              <w:t>均为业务配置/集成功能</w:t>
            </w:r>
          </w:p>
        </w:tc>
      </w:tr>
      <w:tr w14:paraId="29E9A5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7F819EF9">
            <w:pPr>
              <w:jc w:val="left"/>
            </w:pPr>
            <w:r>
              <w:t>创新点</w:t>
            </w:r>
          </w:p>
        </w:tc>
        <w:tc>
          <w:tcPr>
            <w:tcW w:w="2771" w:type="dxa"/>
          </w:tcPr>
          <w:p w14:paraId="2AFF7678">
            <w:pPr>
              <w:jc w:val="left"/>
            </w:pPr>
            <w:r>
              <w:t>会议室场景定制、预约+签到结合、联动硬件、灵活规则配置</w:t>
            </w:r>
          </w:p>
        </w:tc>
        <w:tc>
          <w:tcPr>
            <w:tcW w:w="2771" w:type="dxa"/>
          </w:tcPr>
          <w:p w14:paraId="388F3158">
            <w:pPr>
              <w:jc w:val="left"/>
            </w:pPr>
            <w:r>
              <w:t>与空间预约系统高度雷同</w:t>
            </w:r>
          </w:p>
        </w:tc>
      </w:tr>
    </w:tbl>
    <w:p w14:paraId="7498E34F"/>
    <w:p w14:paraId="1DB6EF9F">
      <w:r>
        <w:rPr>
          <w:b/>
        </w:rPr>
        <w:t>当前状态：🟢 风险已大幅降低</w:t>
      </w:r>
    </w:p>
    <w:p w14:paraId="03C0FE1C">
      <w:r>
        <w:t>已完成的补救措施：</w:t>
      </w:r>
    </w:p>
    <w:p w14:paraId="6082A9F9">
      <w:pPr>
        <w:ind w:left="0" w:hanging="142"/>
      </w:pPr>
      <w:r>
        <w:rPr>
          <w:rFonts w:ascii="宋体" w:hAnsi="宋体" w:eastAsia="宋体"/>
          <w:color w:val="000000"/>
          <w:sz w:val="22"/>
        </w:rPr>
        <w:t xml:space="preserve">• </w:t>
      </w:r>
      <w:r>
        <w:t>✅ 核心技术重新定位为三项：BACnet/Modbus/DALI/KNX多协议设备联动控制技术、音视频中控集成技术、预约-签到-设备联动全链路自动化技术</w:t>
      </w:r>
    </w:p>
    <w:p w14:paraId="41FA3ACB">
      <w:pPr>
        <w:ind w:left="0" w:hanging="142"/>
      </w:pPr>
      <w:r>
        <w:rPr>
          <w:rFonts w:ascii="宋体" w:hAnsi="宋体" w:eastAsia="宋体"/>
          <w:color w:val="000000"/>
          <w:sz w:val="22"/>
        </w:rPr>
        <w:t xml:space="preserve">• </w:t>
      </w:r>
      <w:r>
        <w:t>✅ 四类楼宇控制协议的技术难度已充分展开（协议栈解析差异、RS232私有指令、时序控制、边界场景处理）</w:t>
      </w:r>
    </w:p>
    <w:p w14:paraId="789EEDAE">
      <w:pPr>
        <w:ind w:left="0" w:hanging="142"/>
      </w:pPr>
      <w:r>
        <w:rPr>
          <w:rFonts w:ascii="宋体" w:hAnsi="宋体" w:eastAsia="宋体"/>
          <w:color w:val="000000"/>
          <w:sz w:val="22"/>
        </w:rPr>
        <w:t xml:space="preserve">• </w:t>
      </w:r>
      <w:r>
        <w:t>✅ "逆向分析"已改为"解析研究"（避免逆向工程合规质疑）</w:t>
      </w:r>
    </w:p>
    <w:p w14:paraId="016ADBE4">
      <w:pPr>
        <w:ind w:left="0" w:hanging="142"/>
      </w:pPr>
      <w:r>
        <w:rPr>
          <w:rFonts w:ascii="宋体" w:hAnsi="宋体" w:eastAsia="宋体"/>
          <w:color w:val="000000"/>
          <w:sz w:val="22"/>
        </w:rPr>
        <w:t xml:space="preserve">• </w:t>
      </w:r>
      <w:r>
        <w:t>✅ 与空间预约系统的技术差异说明已补充（多协议设备联动控制 vs 空间建模+排程）</w:t>
      </w:r>
    </w:p>
    <w:p w14:paraId="1F0B23EF">
      <w:pPr>
        <w:ind w:left="0" w:hanging="142"/>
      </w:pPr>
      <w:r>
        <w:rPr>
          <w:rFonts w:ascii="宋体" w:hAnsi="宋体" w:eastAsia="宋体"/>
          <w:color w:val="000000"/>
          <w:sz w:val="22"/>
        </w:rPr>
        <w:t xml:space="preserve">• </w:t>
      </w:r>
      <w:r>
        <w:t>✅ 软著登记申请已提交（2026年4月，审核中）</w:t>
      </w:r>
    </w:p>
    <w:p w14:paraId="203DDDE4">
      <w:r>
        <w:t>仍需注意：</w:t>
      </w:r>
    </w:p>
    <w:p w14:paraId="0EB7BA92">
      <w:pPr>
        <w:ind w:left="0" w:hanging="142"/>
      </w:pPr>
      <w:r>
        <w:rPr>
          <w:rFonts w:ascii="宋体" w:hAnsi="宋体" w:eastAsia="宋体"/>
          <w:color w:val="000000"/>
          <w:sz w:val="22"/>
        </w:rPr>
        <w:t xml:space="preserve">• </w:t>
      </w:r>
      <w:r>
        <w:t>5个应用系统中最不容易被否的——四协议适配+音视频中控+全链路自动化，技术含量最高</w:t>
      </w:r>
    </w:p>
    <w:p w14:paraId="1BAF1C0B">
      <w:pPr>
        <w:ind w:left="0" w:hanging="142"/>
      </w:pPr>
      <w:r>
        <w:rPr>
          <w:rFonts w:ascii="宋体" w:hAnsi="宋体" w:eastAsia="宋体"/>
          <w:color w:val="000000"/>
          <w:sz w:val="22"/>
        </w:rPr>
        <w:t xml:space="preserve">• </w:t>
      </w:r>
      <w:r>
        <w:t>建议作为答辩时的"主力项目"之一</w:t>
      </w:r>
    </w:p>
    <w:p w14:paraId="5A4CC934">
      <w:pPr>
        <w:ind w:left="0" w:hanging="142"/>
      </w:pPr>
    </w:p>
    <w:p w14:paraId="70C1177B">
      <w:pPr>
        <w:ind w:left="0" w:hanging="142"/>
      </w:pPr>
    </w:p>
    <w:p w14:paraId="362CD3D3">
      <w:pPr>
        <w:ind w:left="0" w:hanging="142"/>
      </w:pPr>
    </w:p>
    <w:p w14:paraId="7DBE67A2">
      <w:pPr>
        <w:ind w:left="0" w:hanging="142"/>
      </w:pPr>
    </w:p>
    <w:p w14:paraId="6D570E09">
      <w:pPr>
        <w:ind w:left="0" w:hanging="142"/>
      </w:pPr>
    </w:p>
    <w:p w14:paraId="517D0BE3">
      <w:pPr>
        <w:ind w:left="0" w:hanging="142"/>
      </w:pPr>
    </w:p>
    <w:p w14:paraId="7CC969D3">
      <w:pPr>
        <w:ind w:left="0" w:hanging="142"/>
      </w:pPr>
    </w:p>
    <w:p w14:paraId="7D16A0FE">
      <w:pPr>
        <w:ind w:left="0" w:hanging="142"/>
      </w:pPr>
    </w:p>
    <w:p w14:paraId="369B1F1D"/>
    <w:p w14:paraId="373A6681"/>
    <w:p w14:paraId="32F84FFA">
      <w:pPr>
        <w:pStyle w:val="5"/>
      </w:pPr>
      <w:r>
        <w:t>项目5：极企智能楼宇智能卫生间系统研发（JQ2025002）</w:t>
      </w:r>
    </w:p>
    <w:p w14:paraId="1449AFF9">
      <w:r>
        <w:rPr>
          <w:b/>
        </w:rPr>
        <w:t>原版审查（风险等级：🔴 高风险）：</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71"/>
        <w:gridCol w:w="2771"/>
        <w:gridCol w:w="2771"/>
      </w:tblGrid>
      <w:tr w14:paraId="44505A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shd w:val="clear" w:color="auto" w:fill="F2F2F2"/>
          </w:tcPr>
          <w:p w14:paraId="7621BC30">
            <w:pPr>
              <w:jc w:val="left"/>
            </w:pPr>
            <w:r>
              <w:rPr>
                <w:b/>
              </w:rPr>
              <w:t>项目</w:t>
            </w:r>
          </w:p>
        </w:tc>
        <w:tc>
          <w:tcPr>
            <w:tcW w:w="2771" w:type="dxa"/>
            <w:shd w:val="clear" w:color="auto" w:fill="F2F2F2"/>
          </w:tcPr>
          <w:p w14:paraId="7F277873">
            <w:pPr>
              <w:jc w:val="left"/>
            </w:pPr>
            <w:r>
              <w:rPr>
                <w:b/>
              </w:rPr>
              <w:t>原文内容</w:t>
            </w:r>
          </w:p>
        </w:tc>
        <w:tc>
          <w:tcPr>
            <w:tcW w:w="2771" w:type="dxa"/>
            <w:shd w:val="clear" w:color="auto" w:fill="F2F2F2"/>
          </w:tcPr>
          <w:p w14:paraId="3CBE95EB">
            <w:pPr>
              <w:jc w:val="left"/>
            </w:pPr>
            <w:r>
              <w:rPr>
                <w:b/>
              </w:rPr>
              <w:t>问题诊断</w:t>
            </w:r>
          </w:p>
        </w:tc>
      </w:tr>
      <w:tr w14:paraId="0E1ED9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6238DEFC">
            <w:pPr>
              <w:jc w:val="left"/>
            </w:pPr>
            <w:r>
              <w:t>核心技术</w:t>
            </w:r>
          </w:p>
        </w:tc>
        <w:tc>
          <w:tcPr>
            <w:tcW w:w="2771" w:type="dxa"/>
          </w:tcPr>
          <w:p w14:paraId="45F948C0">
            <w:pPr>
              <w:jc w:val="left"/>
            </w:pPr>
            <w:r>
              <w:t>物联网传感采集技术、数据实时传输技术、故障智能研判技术、工单流转管理技术</w:t>
            </w:r>
          </w:p>
        </w:tc>
        <w:tc>
          <w:tcPr>
            <w:tcW w:w="2771" w:type="dxa"/>
          </w:tcPr>
          <w:p w14:paraId="14FFA3E9">
            <w:pPr>
              <w:jc w:val="left"/>
            </w:pPr>
            <w:r>
              <w:t>"工单流转"是标准OA功能；"智能研判"一笔带过未展开</w:t>
            </w:r>
          </w:p>
        </w:tc>
      </w:tr>
      <w:tr w14:paraId="5ED2D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5CF25241">
            <w:pPr>
              <w:jc w:val="left"/>
            </w:pPr>
            <w:r>
              <w:t>创新点</w:t>
            </w:r>
          </w:p>
        </w:tc>
        <w:tc>
          <w:tcPr>
            <w:tcW w:w="2771" w:type="dxa"/>
          </w:tcPr>
          <w:p w14:paraId="2247DB02">
            <w:pPr>
              <w:jc w:val="left"/>
            </w:pPr>
            <w:r>
              <w:t>24小时自动监测替代巡检、异常实时告警、人流量环境数据可视化</w:t>
            </w:r>
          </w:p>
        </w:tc>
        <w:tc>
          <w:tcPr>
            <w:tcW w:w="2771" w:type="dxa"/>
          </w:tcPr>
          <w:p w14:paraId="73E1F08E">
            <w:pPr>
              <w:jc w:val="left"/>
            </w:pPr>
            <w:r>
              <w:t>全部是产品功能层面</w:t>
            </w:r>
          </w:p>
        </w:tc>
      </w:tr>
    </w:tbl>
    <w:p w14:paraId="74BBD29C"/>
    <w:p w14:paraId="5E48561D">
      <w:r>
        <w:rPr>
          <w:b/>
        </w:rPr>
        <w:t>当前状态：🟡 风险已降低</w:t>
      </w:r>
    </w:p>
    <w:p w14:paraId="3AE8032C">
      <w:r>
        <w:t>已完成的补救措施：</w:t>
      </w:r>
    </w:p>
    <w:p w14:paraId="135DA5A8">
      <w:pPr>
        <w:ind w:left="0" w:hanging="142"/>
      </w:pPr>
      <w:r>
        <w:rPr>
          <w:rFonts w:ascii="宋体" w:hAnsi="宋体" w:eastAsia="宋体"/>
          <w:color w:val="000000"/>
          <w:sz w:val="22"/>
        </w:rPr>
        <w:t xml:space="preserve">• </w:t>
      </w:r>
      <w:r>
        <w:t>✅ 核心叙事重新定位：</w:t>
      </w:r>
      <w:r>
        <w:rPr>
          <w:b/>
        </w:rPr>
        <w:t>"不是传感器采集+阈值告警的标准物联网应用，而是多源异构数据的融合研判"</w:t>
      </w:r>
    </w:p>
    <w:p w14:paraId="2C685650">
      <w:pPr>
        <w:ind w:left="0" w:hanging="142"/>
      </w:pPr>
      <w:r>
        <w:rPr>
          <w:rFonts w:ascii="宋体" w:hAnsi="宋体" w:eastAsia="宋体"/>
          <w:color w:val="000000"/>
          <w:sz w:val="22"/>
        </w:rPr>
        <w:t xml:space="preserve">• </w:t>
      </w:r>
      <w:r>
        <w:t>✅ 明确区分"单阈值告警"与"融合研判"——给出具体规则组合示例（氨气+人流量+排风状态→区分需清洁/传感器漂移/设备故障）</w:t>
      </w:r>
    </w:p>
    <w:p w14:paraId="1398247F">
      <w:pPr>
        <w:ind w:left="0" w:hanging="142"/>
      </w:pPr>
      <w:r>
        <w:rPr>
          <w:rFonts w:ascii="宋体" w:hAnsi="宋体" w:eastAsia="宋体"/>
          <w:color w:val="000000"/>
          <w:sz w:val="22"/>
        </w:rPr>
        <w:t xml:space="preserve">• </w:t>
      </w:r>
      <w:r>
        <w:t>✅ 规则引擎定位从"使用了规则引擎"升级为"卫生间场景的研判规则设计本身是核心难题"</w:t>
      </w:r>
    </w:p>
    <w:p w14:paraId="1741D1FD">
      <w:pPr>
        <w:ind w:left="0" w:hanging="142"/>
      </w:pPr>
      <w:r>
        <w:rPr>
          <w:rFonts w:ascii="宋体" w:hAnsi="宋体" w:eastAsia="宋体"/>
          <w:color w:val="000000"/>
          <w:sz w:val="22"/>
        </w:rPr>
        <w:t xml:space="preserve">• </w:t>
      </w:r>
      <w:r>
        <w:t>✅ 边缘端轻量化强化了"有限算力条件下优化资源占用和响应延迟"</w:t>
      </w:r>
    </w:p>
    <w:p w14:paraId="2E9C126D">
      <w:pPr>
        <w:ind w:left="0" w:hanging="142"/>
      </w:pPr>
      <w:r>
        <w:rPr>
          <w:rFonts w:ascii="宋体" w:hAnsi="宋体" w:eastAsia="宋体"/>
          <w:color w:val="000000"/>
          <w:sz w:val="22"/>
        </w:rPr>
        <w:t xml:space="preserve">• </w:t>
      </w:r>
      <w:r>
        <w:t>✅ 软著登记申请已提交（2026年4月，审核中）</w:t>
      </w:r>
    </w:p>
    <w:p w14:paraId="65384153">
      <w:r>
        <w:t>仍需注意：</w:t>
      </w:r>
    </w:p>
    <w:p w14:paraId="63922687">
      <w:pPr>
        <w:ind w:left="0" w:hanging="142"/>
      </w:pPr>
      <w:r>
        <w:rPr>
          <w:rFonts w:ascii="宋体" w:hAnsi="宋体" w:eastAsia="宋体"/>
          <w:color w:val="000000"/>
          <w:sz w:val="22"/>
        </w:rPr>
        <w:t xml:space="preserve">• </w:t>
      </w:r>
      <w:r>
        <w:t>专家可能质疑"规则引擎是成熟技术"——应对口径：核心不是规则引擎本身，而是面向卫生间场景的多维数据融合研判规则体系设计</w:t>
      </w:r>
    </w:p>
    <w:p w14:paraId="6E9E54D3">
      <w:pPr>
        <w:ind w:left="0" w:hanging="142"/>
      </w:pPr>
      <w:r>
        <w:rPr>
          <w:rFonts w:ascii="宋体" w:hAnsi="宋体" w:eastAsia="宋体"/>
          <w:color w:val="000000"/>
          <w:sz w:val="22"/>
        </w:rPr>
        <w:t xml:space="preserve">• </w:t>
      </w:r>
      <w:r>
        <w:t>多源异构传感器统一接入（5种通信协议）本身有一定技术含量</w:t>
      </w:r>
    </w:p>
    <w:p w14:paraId="66F88DEC">
      <w:pPr>
        <w:pStyle w:val="5"/>
      </w:pPr>
    </w:p>
    <w:p w14:paraId="3AD2C68C">
      <w:pPr>
        <w:pStyle w:val="5"/>
      </w:pPr>
    </w:p>
    <w:p w14:paraId="28F0C416">
      <w:pPr>
        <w:pStyle w:val="5"/>
      </w:pPr>
    </w:p>
    <w:p w14:paraId="75984A16">
      <w:pPr>
        <w:pStyle w:val="5"/>
      </w:pPr>
    </w:p>
    <w:p w14:paraId="506DA7D0"/>
    <w:p w14:paraId="40F91BBF"/>
    <w:p w14:paraId="22268ED6">
      <w:pPr>
        <w:pStyle w:val="5"/>
      </w:pPr>
      <w:r>
        <w:t>项目6：极企楼宇AIoT底层技术预研（JQ2025005）</w:t>
      </w:r>
    </w:p>
    <w:p w14:paraId="7928301E">
      <w:r>
        <w:rPr>
          <w:b/>
        </w:rPr>
        <w:t>原版审查（风险等级：🟡 中等风险）：</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71"/>
        <w:gridCol w:w="2771"/>
        <w:gridCol w:w="2771"/>
      </w:tblGrid>
      <w:tr w14:paraId="362A5F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shd w:val="clear" w:color="auto" w:fill="F2F2F2"/>
          </w:tcPr>
          <w:p w14:paraId="26489245">
            <w:pPr>
              <w:jc w:val="left"/>
            </w:pPr>
            <w:r>
              <w:rPr>
                <w:b/>
              </w:rPr>
              <w:t>项目</w:t>
            </w:r>
          </w:p>
        </w:tc>
        <w:tc>
          <w:tcPr>
            <w:tcW w:w="2771" w:type="dxa"/>
            <w:shd w:val="clear" w:color="auto" w:fill="F2F2F2"/>
          </w:tcPr>
          <w:p w14:paraId="23057881">
            <w:pPr>
              <w:jc w:val="left"/>
            </w:pPr>
            <w:r>
              <w:rPr>
                <w:b/>
              </w:rPr>
              <w:t>原文内容</w:t>
            </w:r>
          </w:p>
        </w:tc>
        <w:tc>
          <w:tcPr>
            <w:tcW w:w="2771" w:type="dxa"/>
            <w:shd w:val="clear" w:color="auto" w:fill="F2F2F2"/>
          </w:tcPr>
          <w:p w14:paraId="073BDAFE">
            <w:pPr>
              <w:jc w:val="left"/>
            </w:pPr>
            <w:r>
              <w:rPr>
                <w:b/>
              </w:rPr>
              <w:t>问题诊断</w:t>
            </w:r>
          </w:p>
        </w:tc>
      </w:tr>
      <w:tr w14:paraId="7A8AA5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5C776E67">
            <w:pPr>
              <w:jc w:val="left"/>
            </w:pPr>
            <w:r>
              <w:t>核心技术</w:t>
            </w:r>
          </w:p>
        </w:tc>
        <w:tc>
          <w:tcPr>
            <w:tcW w:w="2771" w:type="dxa"/>
          </w:tcPr>
          <w:p w14:paraId="623F57D9">
            <w:pPr>
              <w:jc w:val="left"/>
            </w:pPr>
            <w:r>
              <w:t>物联网通用协议适配技术、分布式底层架构技术、数据中台接口技术、设备统一接入技术</w:t>
            </w:r>
          </w:p>
        </w:tc>
        <w:tc>
          <w:tcPr>
            <w:tcW w:w="2771" w:type="dxa"/>
          </w:tcPr>
          <w:p w14:paraId="581958B1">
            <w:pPr>
              <w:jc w:val="left"/>
            </w:pPr>
            <w:r>
              <w:t>方向较好但描述偏工程化</w:t>
            </w:r>
          </w:p>
        </w:tc>
      </w:tr>
      <w:tr w14:paraId="4E4E38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3AC6DBB4">
            <w:pPr>
              <w:jc w:val="left"/>
            </w:pPr>
            <w:r>
              <w:t>创新点</w:t>
            </w:r>
          </w:p>
        </w:tc>
        <w:tc>
          <w:tcPr>
            <w:tcW w:w="2771" w:type="dxa"/>
          </w:tcPr>
          <w:p w14:paraId="7E01F7D5">
            <w:pPr>
              <w:jc w:val="left"/>
            </w:pPr>
            <w:r>
              <w:t>分层解耦架构、多协议兼容整合、标准化数据交互体系</w:t>
            </w:r>
          </w:p>
        </w:tc>
        <w:tc>
          <w:tcPr>
            <w:tcW w:w="2771" w:type="dxa"/>
          </w:tcPr>
          <w:p w14:paraId="5DAAD71C">
            <w:pPr>
              <w:jc w:val="left"/>
            </w:pPr>
            <w:r>
              <w:t>"分层解耦"是通用设计模式；未强调技术攻关点</w:t>
            </w:r>
          </w:p>
        </w:tc>
      </w:tr>
    </w:tbl>
    <w:p w14:paraId="74132010"/>
    <w:p w14:paraId="7A2B637C">
      <w:r>
        <w:rPr>
          <w:b/>
        </w:rPr>
        <w:t>当前状态：🟡 风险已降低但仍需警惕——6个项目中创新性论证最关键</w:t>
      </w:r>
    </w:p>
    <w:p w14:paraId="3538638F">
      <w:r>
        <w:t>已完成的补救措施：</w:t>
      </w:r>
    </w:p>
    <w:p w14:paraId="361116BD">
      <w:pPr>
        <w:ind w:left="0" w:hanging="142"/>
      </w:pPr>
      <w:r>
        <w:rPr>
          <w:rFonts w:ascii="宋体" w:hAnsi="宋体" w:eastAsia="宋体"/>
          <w:color w:val="000000"/>
          <w:sz w:val="22"/>
        </w:rPr>
        <w:t xml:space="preserve">• </w:t>
      </w:r>
      <w:r>
        <w:t>✅ 核心叙事彻底调整：从"底座支撑应用"改为</w:t>
      </w:r>
      <w:r>
        <w:rPr>
          <w:b/>
        </w:rPr>
        <w:t>"从5个应用系统的技术实践中提炼共性"</w:t>
      </w:r>
    </w:p>
    <w:p w14:paraId="45C205F1">
      <w:pPr>
        <w:ind w:left="0" w:hanging="142"/>
      </w:pPr>
      <w:r>
        <w:rPr>
          <w:rFonts w:ascii="宋体" w:hAnsi="宋体" w:eastAsia="宋体"/>
          <w:color w:val="000000"/>
          <w:sz w:val="22"/>
        </w:rPr>
        <w:t xml:space="preserve">• </w:t>
      </w:r>
      <w:r>
        <w:t>✅ 创新性从"提炼共性设计框架"升级为</w:t>
      </w:r>
      <w:r>
        <w:rPr>
          <w:b/>
        </w:rPr>
        <w:t>"研究设计了协议无关的统一指令抽象模型"</w:t>
      </w:r>
    </w:p>
    <w:p w14:paraId="46AAE0F6">
      <w:pPr>
        <w:ind w:left="0" w:hanging="142"/>
      </w:pPr>
      <w:r>
        <w:rPr>
          <w:rFonts w:ascii="宋体" w:hAnsi="宋体" w:eastAsia="宋体"/>
          <w:color w:val="000000"/>
          <w:sz w:val="22"/>
        </w:rPr>
        <w:t xml:space="preserve">• </w:t>
      </w:r>
      <w:r>
        <w:t>✅ 7种协议的通信模型差异详细列出（MQTT异步发布/订阅、HTTP同步请求/响应、RS485串口帧、BACnet对象属性读写、DALI 16位短指令广播寻址、KNX组地址报文路由、Modbus寄存器地址读写）</w:t>
      </w:r>
    </w:p>
    <w:p w14:paraId="7273FEA9">
      <w:pPr>
        <w:ind w:left="0" w:hanging="142"/>
      </w:pPr>
      <w:r>
        <w:rPr>
          <w:rFonts w:ascii="宋体" w:hAnsi="宋体" w:eastAsia="宋体"/>
          <w:color w:val="000000"/>
          <w:sz w:val="22"/>
        </w:rPr>
        <w:t xml:space="preserve">• </w:t>
      </w:r>
      <w:r>
        <w:t>✅ 统一指令模型三要素明确：统一寻址、统一编解码、统一操作语义</w:t>
      </w:r>
    </w:p>
    <w:p w14:paraId="2C1F2D98">
      <w:pPr>
        <w:ind w:left="0" w:hanging="142"/>
      </w:pPr>
      <w:r>
        <w:rPr>
          <w:rFonts w:ascii="宋体" w:hAnsi="宋体" w:eastAsia="宋体"/>
          <w:color w:val="000000"/>
          <w:sz w:val="22"/>
        </w:rPr>
        <w:t xml:space="preserve">• </w:t>
      </w:r>
      <w:r>
        <w:t>✅ 技术不确定性强化：协议无关抽象粒度的权衡（过于通用vs过于适配）、每增一种协议需验证操作语义覆盖</w:t>
      </w:r>
    </w:p>
    <w:p w14:paraId="40DCF238">
      <w:pPr>
        <w:ind w:left="0" w:hanging="142"/>
      </w:pPr>
      <w:r>
        <w:rPr>
          <w:rFonts w:ascii="宋体" w:hAnsi="宋体" w:eastAsia="宋体"/>
          <w:color w:val="000000"/>
          <w:sz w:val="22"/>
        </w:rPr>
        <w:t xml:space="preserve">• </w:t>
      </w:r>
      <w:r>
        <w:t>✅ 研究报告原版修订说明已删除，标题去掉了"修订深化版"，编制日期改为2026年5月</w:t>
      </w:r>
    </w:p>
    <w:p w14:paraId="1E833EEF">
      <w:pPr>
        <w:ind w:left="0" w:hanging="142"/>
      </w:pPr>
      <w:r>
        <w:rPr>
          <w:rFonts w:ascii="宋体" w:hAnsi="宋体" w:eastAsia="宋体"/>
          <w:color w:val="000000"/>
          <w:sz w:val="22"/>
        </w:rPr>
        <w:t xml:space="preserve">• </w:t>
      </w:r>
      <w:r>
        <w:t>✅ 原版研究报告不主动提交科技局</w:t>
      </w:r>
    </w:p>
    <w:p w14:paraId="735A3F36">
      <w:r>
        <w:t>仍需注意：</w:t>
      </w:r>
    </w:p>
    <w:p w14:paraId="747CC537">
      <w:pPr>
        <w:ind w:left="0" w:hanging="142"/>
      </w:pPr>
      <w:r>
        <w:rPr>
          <w:rFonts w:ascii="宋体" w:hAnsi="宋体" w:eastAsia="宋体"/>
          <w:color w:val="000000"/>
          <w:sz w:val="22"/>
        </w:rPr>
        <w:t xml:space="preserve">• </w:t>
      </w:r>
      <w:r>
        <w:rPr>
          <w:b/>
        </w:rPr>
        <w:t>最大风险</w:t>
      </w:r>
      <w:r>
        <w:t>：专家仍可能认定"把已有代码整合成框架=技术整合/代码重构，不是研发创新"</w:t>
      </w:r>
    </w:p>
    <w:p w14:paraId="1911F90D">
      <w:pPr>
        <w:ind w:left="0" w:hanging="142"/>
      </w:pPr>
      <w:r>
        <w:rPr>
          <w:rFonts w:ascii="宋体" w:hAnsi="宋体" w:eastAsia="宋体"/>
          <w:color w:val="000000"/>
          <w:sz w:val="22"/>
        </w:rPr>
        <w:t xml:space="preserve">• </w:t>
      </w:r>
      <w:r>
        <w:t>应对口径：7种协议的通信模型本质不同，无法通过简单封装实现统一接入，需研究设计协议无关的统一指令模型，这一抽象过程存在技术不确定性</w:t>
      </w:r>
    </w:p>
    <w:p w14:paraId="314C8523">
      <w:pPr>
        <w:ind w:left="0" w:hanging="142"/>
      </w:pPr>
      <w:r>
        <w:rPr>
          <w:rFonts w:ascii="宋体" w:hAnsi="宋体" w:eastAsia="宋体"/>
          <w:color w:val="000000"/>
          <w:sz w:val="22"/>
        </w:rPr>
        <w:t xml:space="preserve">• </w:t>
      </w:r>
      <w:r>
        <w:t>如税局转交了原版研究报告，按"原版是框架性总结，本次鉴定准备期间深化补充，核心结论一致"口径应对</w:t>
      </w:r>
    </w:p>
    <w:p w14:paraId="539CD172">
      <w:pPr>
        <w:ind w:left="0" w:hanging="142"/>
      </w:pPr>
      <w:r>
        <w:rPr>
          <w:rFonts w:ascii="宋体" w:hAnsi="宋体" w:eastAsia="宋体"/>
          <w:color w:val="000000"/>
          <w:sz w:val="22"/>
        </w:rPr>
        <w:t xml:space="preserve">• </w:t>
      </w:r>
      <w:r>
        <w:t>验收报告特有表述保护了5个系统的独立性："本项目为底层技术预研项目，以技术攻关、方案论证、规范制定为核心成果，无对应应用软件著作权登记需求"</w:t>
      </w:r>
    </w:p>
    <w:p w14:paraId="1A66394D">
      <w:pPr>
        <w:pStyle w:val="169"/>
        <w:pBdr>
          <w:top w:val="single" w:color="CCCCCC" w:sz="8" w:space="0"/>
        </w:pBdr>
        <w:spacing w:after="240"/>
      </w:pPr>
    </w:p>
    <w:p w14:paraId="0A9AE076">
      <w:pPr>
        <w:pStyle w:val="4"/>
      </w:pPr>
      <w:r>
        <w:t>三、项目关系叙事（核心调整）</w:t>
      </w:r>
    </w:p>
    <w:p w14:paraId="0922A221">
      <w:pPr>
        <w:pStyle w:val="5"/>
      </w:pPr>
      <w:r>
        <w:t>原版叙事（❌ 已废弃）</w:t>
      </w:r>
    </w:p>
    <w:p w14:paraId="259F9D63">
      <w:pPr>
        <w:pBdr>
          <w:top w:val="single" w:color="DDDDDD" w:sz="8" w:space="0"/>
          <w:left w:val="single" w:color="DDDDDD" w:sz="8" w:space="0"/>
          <w:bottom w:val="single" w:color="DDDDDD" w:sz="8" w:space="0"/>
          <w:right w:val="single" w:color="DDDDDD" w:sz="8" w:space="0"/>
        </w:pBdr>
        <w:shd w:val="clear" w:fill="F5F5F5"/>
      </w:pPr>
      <w:r>
        <w:rPr>
          <w:rStyle w:val="165"/>
        </w:rPr>
        <w:t>AIoT底层技术预研（技术底座/支撑）</w:t>
      </w:r>
      <w:r>
        <w:rPr>
          <w:rStyle w:val="165"/>
        </w:rPr>
        <w:br w:type="textWrapping"/>
      </w:r>
      <w:r>
        <w:rPr>
          <w:rStyle w:val="165"/>
        </w:rPr>
        <w:t xml:space="preserve">    ├── 通行系统</w:t>
      </w:r>
      <w:r>
        <w:rPr>
          <w:rStyle w:val="165"/>
        </w:rPr>
        <w:br w:type="textWrapping"/>
      </w:r>
      <w:r>
        <w:rPr>
          <w:rStyle w:val="165"/>
        </w:rPr>
        <w:t xml:space="preserve">    ├── 访客系统</w:t>
      </w:r>
      <w:r>
        <w:rPr>
          <w:rStyle w:val="165"/>
        </w:rPr>
        <w:br w:type="textWrapping"/>
      </w:r>
      <w:r>
        <w:rPr>
          <w:rStyle w:val="165"/>
        </w:rPr>
        <w:t xml:space="preserve">    ├── 空间预约系统</w:t>
      </w:r>
      <w:r>
        <w:rPr>
          <w:rStyle w:val="165"/>
        </w:rPr>
        <w:br w:type="textWrapping"/>
      </w:r>
      <w:r>
        <w:rPr>
          <w:rStyle w:val="165"/>
        </w:rPr>
        <w:t xml:space="preserve">    ├── 会议室系统</w:t>
      </w:r>
      <w:r>
        <w:rPr>
          <w:rStyle w:val="165"/>
        </w:rPr>
        <w:br w:type="textWrapping"/>
      </w:r>
      <w:r>
        <w:rPr>
          <w:rStyle w:val="165"/>
        </w:rPr>
        <w:t xml:space="preserve">    └── 卫生间系统</w:t>
      </w:r>
      <w:r>
        <w:rPr>
          <w:rStyle w:val="165"/>
        </w:rPr>
        <w:br w:type="textWrapping"/>
      </w:r>
    </w:p>
    <w:p w14:paraId="70CE0C7D">
      <w:r>
        <w:t>问题：AIoT预研2025年8月立项，5个应用系统最早2024年1月立项——"底座支撑应用"的时间线自相矛盾。</w:t>
      </w:r>
    </w:p>
    <w:p w14:paraId="3B82F05D">
      <w:pPr>
        <w:pStyle w:val="5"/>
      </w:pPr>
      <w:r>
        <w:t>当前叙事（✅ 已统一）</w:t>
      </w:r>
    </w:p>
    <w:p w14:paraId="2CFDCC1D">
      <w:pPr>
        <w:pBdr>
          <w:top w:val="single" w:color="DDDDDD" w:sz="8" w:space="0"/>
          <w:left w:val="single" w:color="DDDDDD" w:sz="8" w:space="0"/>
          <w:bottom w:val="single" w:color="DDDDDD" w:sz="8" w:space="0"/>
          <w:right w:val="single" w:color="DDDDDD" w:sz="8" w:space="0"/>
        </w:pBdr>
        <w:shd w:val="clear" w:fill="F5F5F5"/>
      </w:pPr>
      <w:r>
        <w:rPr>
          <w:rStyle w:val="165"/>
        </w:rPr>
        <w:t>应用先行 → 提炼共性</w:t>
      </w:r>
      <w:r>
        <w:rPr>
          <w:rStyle w:val="165"/>
        </w:rPr>
        <w:br w:type="textWrapping"/>
      </w:r>
      <w:r>
        <w:rPr>
          <w:rStyle w:val="165"/>
        </w:rPr>
        <w:br w:type="textWrapping"/>
      </w:r>
      <w:r>
        <w:rPr>
          <w:rStyle w:val="165"/>
        </w:rPr>
        <w:t>5个应用系统（2024.1—2025.7）各自独立攻关</w:t>
      </w:r>
      <w:r>
        <w:rPr>
          <w:rStyle w:val="165"/>
        </w:rPr>
        <w:br w:type="textWrapping"/>
      </w:r>
      <w:r>
        <w:rPr>
          <w:rStyle w:val="165"/>
        </w:rPr>
        <w:t xml:space="preserve">    ↓ 暴露共性技术问题</w:t>
      </w:r>
      <w:r>
        <w:rPr>
          <w:rStyle w:val="165"/>
        </w:rPr>
        <w:br w:type="textWrapping"/>
      </w:r>
      <w:r>
        <w:rPr>
          <w:rStyle w:val="165"/>
        </w:rPr>
        <w:t>AIoT底层预研（2025.8—2025.12）从实践中提炼</w:t>
      </w:r>
      <w:r>
        <w:rPr>
          <w:rStyle w:val="165"/>
        </w:rPr>
        <w:br w:type="textWrapping"/>
      </w:r>
    </w:p>
    <w:p w14:paraId="6DE9ACBC">
      <w:r>
        <w:t>关键要点：</w:t>
      </w:r>
    </w:p>
    <w:p w14:paraId="3B356080">
      <w:pPr>
        <w:ind w:left="0" w:hanging="142"/>
      </w:pPr>
      <w:r>
        <w:rPr>
          <w:rFonts w:ascii="宋体" w:hAnsi="宋体" w:eastAsia="宋体"/>
          <w:color w:val="000000"/>
          <w:sz w:val="22"/>
        </w:rPr>
        <w:t xml:space="preserve">1. </w:t>
      </w:r>
      <w:r>
        <w:rPr>
          <w:b/>
        </w:rPr>
        <w:t>5个系统各自独立开发</w:t>
      </w:r>
      <w:r>
        <w:t>，不存在"使用其他项目已有技术框架"</w:t>
      </w:r>
    </w:p>
    <w:p w14:paraId="0C802368">
      <w:pPr>
        <w:ind w:left="0" w:hanging="142"/>
      </w:pPr>
      <w:r>
        <w:rPr>
          <w:rFonts w:ascii="宋体" w:hAnsi="宋体" w:eastAsia="宋体"/>
          <w:color w:val="000000"/>
          <w:sz w:val="22"/>
        </w:rPr>
        <w:t xml:space="preserve">2. </w:t>
      </w:r>
      <w:r>
        <w:rPr>
          <w:b/>
        </w:rPr>
        <w:t>AIoT是从实践中提炼共性</w:t>
      </w:r>
      <w:r>
        <w:t>，不是"底座支撑应用"</w:t>
      </w:r>
    </w:p>
    <w:p w14:paraId="4F92C9D3">
      <w:pPr>
        <w:ind w:left="0" w:hanging="142"/>
      </w:pPr>
      <w:r>
        <w:rPr>
          <w:rFonts w:ascii="宋体" w:hAnsi="宋体" w:eastAsia="宋体"/>
          <w:color w:val="000000"/>
          <w:sz w:val="22"/>
        </w:rPr>
        <w:t xml:space="preserve">3. </w:t>
      </w:r>
      <w:r>
        <w:rPr>
          <w:b/>
        </w:rPr>
        <w:t>共享技术栈</w:t>
      </w:r>
      <w:r>
        <w:t>（Vue3+NestJS+TypeScript+PostgreSQL+Redis+MQTT+Docker）是成熟开源技术，不属于研发内容</w:t>
      </w:r>
    </w:p>
    <w:p w14:paraId="7C9A5000">
      <w:pPr>
        <w:ind w:left="0" w:hanging="142"/>
      </w:pPr>
      <w:r>
        <w:rPr>
          <w:rFonts w:ascii="宋体" w:hAnsi="宋体" w:eastAsia="宋体"/>
          <w:color w:val="000000"/>
          <w:sz w:val="22"/>
        </w:rPr>
        <w:t xml:space="preserve">4. </w:t>
      </w:r>
      <w:r>
        <w:rPr>
          <w:b/>
        </w:rPr>
        <w:t>5个系统同属Buildingos.ai平台</w:t>
      </w:r>
      <w:r>
        <w:t>，共享技术栈是现代软件工程常见做法</w:t>
      </w:r>
    </w:p>
    <w:p w14:paraId="60B1CC69">
      <w:pPr>
        <w:ind w:left="0" w:hanging="142"/>
      </w:pPr>
      <w:r>
        <w:rPr>
          <w:rFonts w:ascii="宋体" w:hAnsi="宋体" w:eastAsia="宋体"/>
          <w:color w:val="000000"/>
          <w:sz w:val="22"/>
        </w:rPr>
        <w:t xml:space="preserve">5. </w:t>
      </w:r>
      <w:r>
        <w:t>所有文档中</w:t>
      </w:r>
      <w:r>
        <w:rPr>
          <w:b/>
        </w:rPr>
        <w:t>已清除"基于AIoT底座""底座支撑应用"等危险表述</w:t>
      </w:r>
    </w:p>
    <w:p w14:paraId="189635A8">
      <w:pPr>
        <w:pStyle w:val="5"/>
      </w:pPr>
      <w:r>
        <w:t>所有文件中已清除的危险表述</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71"/>
        <w:gridCol w:w="2771"/>
        <w:gridCol w:w="2771"/>
      </w:tblGrid>
      <w:tr w14:paraId="50BFEE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shd w:val="clear" w:color="auto" w:fill="F2F2F2"/>
          </w:tcPr>
          <w:p w14:paraId="311E0689">
            <w:pPr>
              <w:jc w:val="left"/>
            </w:pPr>
            <w:r>
              <w:rPr>
                <w:b/>
              </w:rPr>
              <w:t>危险表述</w:t>
            </w:r>
          </w:p>
        </w:tc>
        <w:tc>
          <w:tcPr>
            <w:tcW w:w="2771" w:type="dxa"/>
            <w:shd w:val="clear" w:color="auto" w:fill="F2F2F2"/>
          </w:tcPr>
          <w:p w14:paraId="03245698">
            <w:pPr>
              <w:jc w:val="left"/>
            </w:pPr>
            <w:r>
              <w:rPr>
                <w:b/>
              </w:rPr>
              <w:t>出现位置</w:t>
            </w:r>
          </w:p>
        </w:tc>
        <w:tc>
          <w:tcPr>
            <w:tcW w:w="2771" w:type="dxa"/>
            <w:shd w:val="clear" w:color="auto" w:fill="F2F2F2"/>
          </w:tcPr>
          <w:p w14:paraId="2A1B556D">
            <w:pPr>
              <w:jc w:val="left"/>
            </w:pPr>
            <w:r>
              <w:rPr>
                <w:b/>
              </w:rPr>
              <w:t>处理方式</w:t>
            </w:r>
          </w:p>
        </w:tc>
      </w:tr>
      <w:tr w14:paraId="5EF9B8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0D71BAD1">
            <w:pPr>
              <w:jc w:val="left"/>
            </w:pPr>
            <w:r>
              <w:t>"基于AIoT底座框架"</w:t>
            </w:r>
          </w:p>
        </w:tc>
        <w:tc>
          <w:tcPr>
            <w:tcW w:w="2771" w:type="dxa"/>
          </w:tcPr>
          <w:p w14:paraId="44C1086E">
            <w:pPr>
              <w:jc w:val="left"/>
            </w:pPr>
            <w:r>
              <w:t>通行/访客/空间预约补充说明</w:t>
            </w:r>
          </w:p>
        </w:tc>
        <w:tc>
          <w:tcPr>
            <w:tcW w:w="2771" w:type="dxa"/>
          </w:tcPr>
          <w:p w14:paraId="64479A93">
            <w:pPr>
              <w:jc w:val="left"/>
            </w:pPr>
            <w:r>
              <w:t>已删除，改为"独立开发"</w:t>
            </w:r>
          </w:p>
        </w:tc>
      </w:tr>
      <w:tr w14:paraId="0B1E65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534A0842">
            <w:pPr>
              <w:jc w:val="left"/>
            </w:pPr>
            <w:r>
              <w:t>"AIoT底座支撑应用"</w:t>
            </w:r>
          </w:p>
        </w:tc>
        <w:tc>
          <w:tcPr>
            <w:tcW w:w="2771" w:type="dxa"/>
          </w:tcPr>
          <w:p w14:paraId="10818917">
            <w:pPr>
              <w:jc w:val="left"/>
            </w:pPr>
            <w:r>
              <w:t>总体架构说明</w:t>
            </w:r>
          </w:p>
        </w:tc>
        <w:tc>
          <w:tcPr>
            <w:tcW w:w="2771" w:type="dxa"/>
          </w:tcPr>
          <w:p w14:paraId="4DD51516">
            <w:pPr>
              <w:jc w:val="left"/>
            </w:pPr>
            <w:r>
              <w:t>已改为"从应用实践中提炼共性"</w:t>
            </w:r>
          </w:p>
        </w:tc>
      </w:tr>
      <w:tr w14:paraId="6C9A2D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2DF6EDF8">
            <w:pPr>
              <w:jc w:val="left"/>
            </w:pPr>
            <w:r>
              <w:t>"对标行业主流BuildingOS.ai"</w:t>
            </w:r>
          </w:p>
        </w:tc>
        <w:tc>
          <w:tcPr>
            <w:tcW w:w="2771" w:type="dxa"/>
          </w:tcPr>
          <w:p w14:paraId="3AAA91DA">
            <w:pPr>
              <w:jc w:val="left"/>
            </w:pPr>
            <w:r>
              <w:t>AIoT研究报告</w:t>
            </w:r>
          </w:p>
        </w:tc>
        <w:tc>
          <w:tcPr>
            <w:tcW w:w="2771" w:type="dxa"/>
          </w:tcPr>
          <w:p w14:paraId="6EDD99D9">
            <w:pPr>
              <w:jc w:val="left"/>
            </w:pPr>
            <w:r>
              <w:t>已删除</w:t>
            </w:r>
          </w:p>
        </w:tc>
      </w:tr>
      <w:tr w14:paraId="7E585B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40417CC8">
            <w:pPr>
              <w:jc w:val="left"/>
            </w:pPr>
            <w:r>
              <w:t>"设备接入框架和AIoT底座"</w:t>
            </w:r>
          </w:p>
        </w:tc>
        <w:tc>
          <w:tcPr>
            <w:tcW w:w="2771" w:type="dxa"/>
          </w:tcPr>
          <w:p w14:paraId="005384BE">
            <w:pPr>
              <w:jc w:val="left"/>
            </w:pPr>
            <w:r>
              <w:t>访客系统补充说明</w:t>
            </w:r>
          </w:p>
        </w:tc>
        <w:tc>
          <w:tcPr>
            <w:tcW w:w="2771" w:type="dxa"/>
          </w:tcPr>
          <w:p w14:paraId="5ACB545E">
            <w:pPr>
              <w:jc w:val="left"/>
            </w:pPr>
            <w:r>
              <w:t>已改为"通过API接口实现业务联动"</w:t>
            </w:r>
          </w:p>
        </w:tc>
      </w:tr>
    </w:tbl>
    <w:p w14:paraId="6AC23299"/>
    <w:p w14:paraId="01941C6F">
      <w:pPr>
        <w:pStyle w:val="169"/>
        <w:pBdr>
          <w:top w:val="single" w:color="CCCCCC" w:sz="8" w:space="0"/>
        </w:pBdr>
        <w:spacing w:after="240"/>
      </w:pPr>
    </w:p>
    <w:p w14:paraId="2D78FF11">
      <w:pPr>
        <w:pStyle w:val="4"/>
      </w:pPr>
      <w:r>
        <w:t>四、共性问题与补救对照</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71"/>
        <w:gridCol w:w="2771"/>
        <w:gridCol w:w="2771"/>
      </w:tblGrid>
      <w:tr w14:paraId="474DA4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shd w:val="clear" w:color="auto" w:fill="F2F2F2"/>
          </w:tcPr>
          <w:p w14:paraId="0B539612">
            <w:pPr>
              <w:jc w:val="left"/>
            </w:pPr>
            <w:r>
              <w:rPr>
                <w:b/>
              </w:rPr>
              <w:t>原版共性问题</w:t>
            </w:r>
          </w:p>
        </w:tc>
        <w:tc>
          <w:tcPr>
            <w:tcW w:w="2771" w:type="dxa"/>
            <w:shd w:val="clear" w:color="auto" w:fill="F2F2F2"/>
          </w:tcPr>
          <w:p w14:paraId="122262B9">
            <w:pPr>
              <w:jc w:val="left"/>
            </w:pPr>
            <w:r>
              <w:rPr>
                <w:b/>
              </w:rPr>
              <w:t>补救措施</w:t>
            </w:r>
          </w:p>
        </w:tc>
        <w:tc>
          <w:tcPr>
            <w:tcW w:w="2771" w:type="dxa"/>
            <w:shd w:val="clear" w:color="auto" w:fill="F2F2F2"/>
          </w:tcPr>
          <w:p w14:paraId="660CC7D0">
            <w:pPr>
              <w:jc w:val="left"/>
            </w:pPr>
            <w:r>
              <w:rPr>
                <w:b/>
              </w:rPr>
              <w:t>当前状态</w:t>
            </w:r>
          </w:p>
        </w:tc>
      </w:tr>
      <w:tr w14:paraId="23F99F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06A60891">
            <w:pPr>
              <w:jc w:val="left"/>
            </w:pPr>
            <w:r>
              <w:t>"创新点"写成了"产品功能清单"</w:t>
            </w:r>
          </w:p>
        </w:tc>
        <w:tc>
          <w:tcPr>
            <w:tcW w:w="2771" w:type="dxa"/>
          </w:tcPr>
          <w:p w14:paraId="69F56680">
            <w:pPr>
              <w:jc w:val="left"/>
            </w:pPr>
            <w:r>
              <w:t>5份技术补充说明（v3版）全部基于软著实际内容重写，创新点聚焦技术攻关</w:t>
            </w:r>
          </w:p>
        </w:tc>
        <w:tc>
          <w:tcPr>
            <w:tcW w:w="2771" w:type="dxa"/>
          </w:tcPr>
          <w:p w14:paraId="34490C27">
            <w:pPr>
              <w:jc w:val="left"/>
            </w:pPr>
            <w:r>
              <w:t>✅ 已解决</w:t>
            </w:r>
          </w:p>
        </w:tc>
      </w:tr>
      <w:tr w14:paraId="4F0041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638AF46B">
            <w:pPr>
              <w:jc w:val="left"/>
            </w:pPr>
            <w:r>
              <w:t>缺乏技术不确定性描述</w:t>
            </w:r>
          </w:p>
        </w:tc>
        <w:tc>
          <w:tcPr>
            <w:tcW w:w="2771" w:type="dxa"/>
          </w:tcPr>
          <w:p w14:paraId="6D53BF0B">
            <w:pPr>
              <w:jc w:val="left"/>
            </w:pPr>
            <w:r>
              <w:t>每份补充说明均新增"技术不确定性说明"章节</w:t>
            </w:r>
          </w:p>
        </w:tc>
        <w:tc>
          <w:tcPr>
            <w:tcW w:w="2771" w:type="dxa"/>
          </w:tcPr>
          <w:p w14:paraId="23AB2DE4">
            <w:pPr>
              <w:jc w:val="left"/>
            </w:pPr>
            <w:r>
              <w:t>✅ 已解决</w:t>
            </w:r>
          </w:p>
        </w:tc>
      </w:tr>
      <w:tr w14:paraId="5D4D0F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074E7DED">
            <w:pPr>
              <w:jc w:val="left"/>
            </w:pPr>
            <w:r>
              <w:t>核心技术命名过于笼统</w:t>
            </w:r>
          </w:p>
        </w:tc>
        <w:tc>
          <w:tcPr>
            <w:tcW w:w="2771" w:type="dxa"/>
          </w:tcPr>
          <w:p w14:paraId="62B94C10">
            <w:pPr>
              <w:jc w:val="left"/>
            </w:pPr>
            <w:r>
              <w:t>具体到技术方法和方案（如"协议无关的统一指令抽象模型""多维约束组合排程算法"）</w:t>
            </w:r>
          </w:p>
        </w:tc>
        <w:tc>
          <w:tcPr>
            <w:tcW w:w="2771" w:type="dxa"/>
          </w:tcPr>
          <w:p w14:paraId="529C755C">
            <w:pPr>
              <w:jc w:val="left"/>
            </w:pPr>
            <w:r>
              <w:t>✅ 已解决</w:t>
            </w:r>
          </w:p>
        </w:tc>
      </w:tr>
      <w:tr w14:paraId="0D5D9A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2537245A">
            <w:pPr>
              <w:jc w:val="left"/>
            </w:pPr>
            <w:r>
              <w:t>项目3与项目5功能重叠</w:t>
            </w:r>
          </w:p>
        </w:tc>
        <w:tc>
          <w:tcPr>
            <w:tcW w:w="2771" w:type="dxa"/>
          </w:tcPr>
          <w:p w14:paraId="4816FF1E">
            <w:pPr>
              <w:jc w:val="left"/>
            </w:pPr>
            <w:r>
              <w:t>补充技术差异说明：空间预约=建模+排程+传感器联动，会议室=多协议设备联动+音视频中控+全链路自动化</w:t>
            </w:r>
          </w:p>
        </w:tc>
        <w:tc>
          <w:tcPr>
            <w:tcW w:w="2771" w:type="dxa"/>
          </w:tcPr>
          <w:p w14:paraId="2CA51565">
            <w:pPr>
              <w:jc w:val="left"/>
            </w:pPr>
            <w:r>
              <w:t>✅ 已解决</w:t>
            </w:r>
          </w:p>
        </w:tc>
      </w:tr>
      <w:tr w14:paraId="224459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4407831F">
            <w:pPr>
              <w:jc w:val="left"/>
            </w:pPr>
            <w:r>
              <w:t>缺乏与现有技术的对比</w:t>
            </w:r>
          </w:p>
        </w:tc>
        <w:tc>
          <w:tcPr>
            <w:tcW w:w="2771" w:type="dxa"/>
          </w:tcPr>
          <w:p w14:paraId="551D9EDC">
            <w:pPr>
              <w:jc w:val="left"/>
            </w:pPr>
            <w:r>
              <w:t>每份补充说明新增"与现有技术/产品的对比"或"与XX系统的技术差异说明"</w:t>
            </w:r>
          </w:p>
        </w:tc>
        <w:tc>
          <w:tcPr>
            <w:tcW w:w="2771" w:type="dxa"/>
          </w:tcPr>
          <w:p w14:paraId="550DE3C1">
            <w:pPr>
              <w:jc w:val="left"/>
            </w:pPr>
            <w:r>
              <w:t>✅ 已解决</w:t>
            </w:r>
          </w:p>
        </w:tc>
      </w:tr>
      <w:tr w14:paraId="1AECF4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456979AC">
            <w:pPr>
              <w:jc w:val="left"/>
            </w:pPr>
            <w:r>
              <w:t>AIoT"底座支撑应用"矛盾</w:t>
            </w:r>
          </w:p>
        </w:tc>
        <w:tc>
          <w:tcPr>
            <w:tcW w:w="2771" w:type="dxa"/>
          </w:tcPr>
          <w:p w14:paraId="639EB292">
            <w:pPr>
              <w:jc w:val="left"/>
            </w:pPr>
            <w:r>
              <w:t>叙事改为"应用先行→提炼共性"，全部文件统一</w:t>
            </w:r>
          </w:p>
        </w:tc>
        <w:tc>
          <w:tcPr>
            <w:tcW w:w="2771" w:type="dxa"/>
          </w:tcPr>
          <w:p w14:paraId="6ED5C287">
            <w:pPr>
              <w:jc w:val="left"/>
            </w:pPr>
            <w:r>
              <w:t>✅ 已解决</w:t>
            </w:r>
          </w:p>
        </w:tc>
      </w:tr>
      <w:tr w14:paraId="5A35A2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4BE95545">
            <w:pPr>
              <w:jc w:val="left"/>
            </w:pPr>
            <w:r>
              <w:t>软著状态不明</w:t>
            </w:r>
          </w:p>
        </w:tc>
        <w:tc>
          <w:tcPr>
            <w:tcW w:w="2771" w:type="dxa"/>
          </w:tcPr>
          <w:p w14:paraId="6A951AD2">
            <w:pPr>
              <w:jc w:val="left"/>
            </w:pPr>
            <w:r>
              <w:t>5份软著2026年4月提交登记申请，审核中，以受理通知书作为"申报文件"</w:t>
            </w:r>
          </w:p>
        </w:tc>
        <w:tc>
          <w:tcPr>
            <w:tcW w:w="2771" w:type="dxa"/>
          </w:tcPr>
          <w:p w14:paraId="3A8BDEA2">
            <w:pPr>
              <w:jc w:val="left"/>
            </w:pPr>
            <w:r>
              <w:t>✅ 已更新</w:t>
            </w:r>
          </w:p>
        </w:tc>
      </w:tr>
      <w:tr w14:paraId="5BD749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7F1A9787">
            <w:pPr>
              <w:jc w:val="left"/>
            </w:pPr>
            <w:r>
              <w:t>"逆向分析"合规风险</w:t>
            </w:r>
          </w:p>
        </w:tc>
        <w:tc>
          <w:tcPr>
            <w:tcW w:w="2771" w:type="dxa"/>
          </w:tcPr>
          <w:p w14:paraId="0C8735DF">
            <w:pPr>
              <w:jc w:val="left"/>
            </w:pPr>
            <w:r>
              <w:t>改为"解析研究指令协议格式"</w:t>
            </w:r>
          </w:p>
        </w:tc>
        <w:tc>
          <w:tcPr>
            <w:tcW w:w="2771" w:type="dxa"/>
          </w:tcPr>
          <w:p w14:paraId="0A27A975">
            <w:pPr>
              <w:jc w:val="left"/>
            </w:pPr>
            <w:r>
              <w:t>✅ 已解决</w:t>
            </w:r>
          </w:p>
        </w:tc>
      </w:tr>
    </w:tbl>
    <w:p w14:paraId="695AC102"/>
    <w:p w14:paraId="5E3B2526">
      <w:pPr>
        <w:pStyle w:val="169"/>
        <w:pBdr>
          <w:top w:val="single" w:color="CCCCCC" w:sz="8" w:space="0"/>
        </w:pBdr>
        <w:spacing w:after="240"/>
      </w:pPr>
    </w:p>
    <w:p w14:paraId="43113F98">
      <w:pPr>
        <w:pStyle w:val="169"/>
        <w:pBdr>
          <w:top w:val="single" w:color="CCCCCC" w:sz="8" w:space="0"/>
        </w:pBdr>
        <w:spacing w:after="240"/>
      </w:pPr>
    </w:p>
    <w:p w14:paraId="1A474820">
      <w:pPr>
        <w:pStyle w:val="169"/>
        <w:pBdr>
          <w:top w:val="single" w:color="CCCCCC" w:sz="8" w:space="0"/>
        </w:pBdr>
        <w:spacing w:after="240"/>
      </w:pPr>
    </w:p>
    <w:p w14:paraId="3B2DF163">
      <w:pPr>
        <w:pStyle w:val="169"/>
        <w:pBdr>
          <w:top w:val="single" w:color="CCCCCC" w:sz="8" w:space="0"/>
        </w:pBdr>
        <w:spacing w:after="240"/>
      </w:pPr>
    </w:p>
    <w:p w14:paraId="44160272">
      <w:pPr>
        <w:pStyle w:val="4"/>
      </w:pPr>
      <w:r>
        <w:t>五、当前风险评估排序</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2"/>
        <w:gridCol w:w="1662"/>
        <w:gridCol w:w="1662"/>
        <w:gridCol w:w="1662"/>
        <w:gridCol w:w="1662"/>
      </w:tblGrid>
      <w:tr w14:paraId="4AD51B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2" w:type="dxa"/>
            <w:shd w:val="clear" w:color="auto" w:fill="F2F2F2"/>
          </w:tcPr>
          <w:p w14:paraId="65053AFE">
            <w:pPr>
              <w:jc w:val="center"/>
            </w:pPr>
            <w:r>
              <w:rPr>
                <w:b/>
              </w:rPr>
              <w:t>排名</w:t>
            </w:r>
          </w:p>
        </w:tc>
        <w:tc>
          <w:tcPr>
            <w:tcW w:w="1662" w:type="dxa"/>
            <w:shd w:val="clear" w:color="auto" w:fill="F2F2F2"/>
          </w:tcPr>
          <w:p w14:paraId="40C0C1C7">
            <w:pPr>
              <w:jc w:val="left"/>
            </w:pPr>
            <w:r>
              <w:rPr>
                <w:b/>
              </w:rPr>
              <w:t>项目</w:t>
            </w:r>
          </w:p>
        </w:tc>
        <w:tc>
          <w:tcPr>
            <w:tcW w:w="1662" w:type="dxa"/>
            <w:shd w:val="clear" w:color="auto" w:fill="F2F2F2"/>
          </w:tcPr>
          <w:p w14:paraId="76AD6E6C">
            <w:pPr>
              <w:jc w:val="center"/>
            </w:pPr>
            <w:r>
              <w:rPr>
                <w:b/>
              </w:rPr>
              <w:t>风险等级</w:t>
            </w:r>
          </w:p>
        </w:tc>
        <w:tc>
          <w:tcPr>
            <w:tcW w:w="1662" w:type="dxa"/>
            <w:shd w:val="clear" w:color="auto" w:fill="F2F2F2"/>
          </w:tcPr>
          <w:p w14:paraId="7B3FBBE4">
            <w:pPr>
              <w:jc w:val="left"/>
            </w:pPr>
            <w:r>
              <w:rPr>
                <w:b/>
              </w:rPr>
              <w:t>核心风险</w:t>
            </w:r>
          </w:p>
        </w:tc>
        <w:tc>
          <w:tcPr>
            <w:tcW w:w="1662" w:type="dxa"/>
            <w:shd w:val="clear" w:color="auto" w:fill="F2F2F2"/>
          </w:tcPr>
          <w:p w14:paraId="4CAE64FF">
            <w:pPr>
              <w:jc w:val="left"/>
            </w:pPr>
            <w:r>
              <w:rPr>
                <w:b/>
              </w:rPr>
              <w:t>答辩重点</w:t>
            </w:r>
          </w:p>
        </w:tc>
      </w:tr>
      <w:tr w14:paraId="44E344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2" w:type="dxa"/>
          </w:tcPr>
          <w:p w14:paraId="09AA534F">
            <w:pPr>
              <w:jc w:val="center"/>
            </w:pPr>
            <w:r>
              <w:t>1</w:t>
            </w:r>
          </w:p>
        </w:tc>
        <w:tc>
          <w:tcPr>
            <w:tcW w:w="1662" w:type="dxa"/>
          </w:tcPr>
          <w:p w14:paraId="7FD64D7B">
            <w:pPr>
              <w:jc w:val="left"/>
            </w:pPr>
            <w:r>
              <w:t>AIoT预研</w:t>
            </w:r>
          </w:p>
        </w:tc>
        <w:tc>
          <w:tcPr>
            <w:tcW w:w="1662" w:type="dxa"/>
          </w:tcPr>
          <w:p w14:paraId="2A579F63">
            <w:pPr>
              <w:jc w:val="center"/>
            </w:pPr>
            <w:r>
              <w:t>🔴高</w:t>
            </w:r>
          </w:p>
        </w:tc>
        <w:tc>
          <w:tcPr>
            <w:tcW w:w="1662" w:type="dxa"/>
          </w:tcPr>
          <w:p w14:paraId="4C703A7A">
            <w:pPr>
              <w:jc w:val="left"/>
            </w:pPr>
            <w:r>
              <w:t>"抽象共性→统一框架"容易被认定为技术整合/代码重构</w:t>
            </w:r>
          </w:p>
        </w:tc>
        <w:tc>
          <w:tcPr>
            <w:tcW w:w="1662" w:type="dxa"/>
          </w:tcPr>
          <w:p w14:paraId="5CD18787">
            <w:pPr>
              <w:jc w:val="left"/>
            </w:pPr>
            <w:r>
              <w:t>7种协议通信模型本质不同，协议无关统一指令模型的设计存在技术不确定性</w:t>
            </w:r>
          </w:p>
        </w:tc>
      </w:tr>
      <w:tr w14:paraId="7747A6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2" w:type="dxa"/>
          </w:tcPr>
          <w:p w14:paraId="5EAC8B38">
            <w:pPr>
              <w:jc w:val="center"/>
            </w:pPr>
            <w:r>
              <w:t>2</w:t>
            </w:r>
          </w:p>
        </w:tc>
        <w:tc>
          <w:tcPr>
            <w:tcW w:w="1662" w:type="dxa"/>
          </w:tcPr>
          <w:p w14:paraId="109E0B9E">
            <w:pPr>
              <w:jc w:val="left"/>
            </w:pPr>
            <w:r>
              <w:t>空间预约</w:t>
            </w:r>
          </w:p>
        </w:tc>
        <w:tc>
          <w:tcPr>
            <w:tcW w:w="1662" w:type="dxa"/>
          </w:tcPr>
          <w:p w14:paraId="598279B1">
            <w:pPr>
              <w:jc w:val="center"/>
            </w:pPr>
            <w:r>
              <w:t>🔴高</w:t>
            </w:r>
          </w:p>
        </w:tc>
        <w:tc>
          <w:tcPr>
            <w:tcW w:w="1662" w:type="dxa"/>
          </w:tcPr>
          <w:p w14:paraId="69487D48">
            <w:pPr>
              <w:jc w:val="left"/>
            </w:pPr>
            <w:r>
              <w:t>预约+建模+排程是成熟领域，三新论证最弱</w:t>
            </w:r>
          </w:p>
        </w:tc>
        <w:tc>
          <w:tcPr>
            <w:tcW w:w="1662" w:type="dxa"/>
          </w:tcPr>
          <w:p w14:paraId="0A0DDC2E">
            <w:pPr>
              <w:jc w:val="left"/>
            </w:pPr>
            <w:r>
              <w:t>通用排程算法无法处理多维约束组合，预约-传感器状态同步机制是原创设计</w:t>
            </w:r>
          </w:p>
        </w:tc>
      </w:tr>
      <w:tr w14:paraId="267920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2" w:type="dxa"/>
          </w:tcPr>
          <w:p w14:paraId="04D6568C">
            <w:pPr>
              <w:jc w:val="center"/>
            </w:pPr>
            <w:r>
              <w:t>3</w:t>
            </w:r>
          </w:p>
        </w:tc>
        <w:tc>
          <w:tcPr>
            <w:tcW w:w="1662" w:type="dxa"/>
          </w:tcPr>
          <w:p w14:paraId="67479FB8">
            <w:pPr>
              <w:jc w:val="left"/>
            </w:pPr>
            <w:r>
              <w:t>访客系统</w:t>
            </w:r>
          </w:p>
        </w:tc>
        <w:tc>
          <w:tcPr>
            <w:tcW w:w="1662" w:type="dxa"/>
          </w:tcPr>
          <w:p w14:paraId="4034E620">
            <w:pPr>
              <w:jc w:val="center"/>
            </w:pPr>
            <w:r>
              <w:t>🟡中</w:t>
            </w:r>
          </w:p>
        </w:tc>
        <w:tc>
          <w:tcPr>
            <w:tcW w:w="1662" w:type="dxa"/>
          </w:tcPr>
          <w:p w14:paraId="776093AC">
            <w:pPr>
              <w:jc w:val="left"/>
            </w:pPr>
            <w:r>
              <w:t>容易被归类为OA类应用</w:t>
            </w:r>
          </w:p>
        </w:tc>
        <w:tc>
          <w:tcPr>
            <w:tcW w:w="1662" w:type="dxa"/>
          </w:tcPr>
          <w:p w14:paraId="307B7809">
            <w:pPr>
              <w:jc w:val="left"/>
            </w:pPr>
            <w:r>
              <w:t>核心是临时权限安全闭环管控（分布式一致性问题），不是流程线上化</w:t>
            </w:r>
          </w:p>
        </w:tc>
      </w:tr>
      <w:tr w14:paraId="17EA07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2" w:type="dxa"/>
          </w:tcPr>
          <w:p w14:paraId="2F355660">
            <w:pPr>
              <w:jc w:val="center"/>
            </w:pPr>
            <w:r>
              <w:t>4</w:t>
            </w:r>
          </w:p>
        </w:tc>
        <w:tc>
          <w:tcPr>
            <w:tcW w:w="1662" w:type="dxa"/>
          </w:tcPr>
          <w:p w14:paraId="27FDA623">
            <w:pPr>
              <w:jc w:val="left"/>
            </w:pPr>
            <w:r>
              <w:t>卫生间系统</w:t>
            </w:r>
          </w:p>
        </w:tc>
        <w:tc>
          <w:tcPr>
            <w:tcW w:w="1662" w:type="dxa"/>
          </w:tcPr>
          <w:p w14:paraId="153913F9">
            <w:pPr>
              <w:jc w:val="center"/>
            </w:pPr>
            <w:r>
              <w:t>🟡中</w:t>
            </w:r>
          </w:p>
        </w:tc>
        <w:tc>
          <w:tcPr>
            <w:tcW w:w="1662" w:type="dxa"/>
          </w:tcPr>
          <w:p w14:paraId="71CE23F5">
            <w:pPr>
              <w:jc w:val="left"/>
            </w:pPr>
            <w:r>
              <w:t>规则引擎偏成熟</w:t>
            </w:r>
          </w:p>
        </w:tc>
        <w:tc>
          <w:tcPr>
            <w:tcW w:w="1662" w:type="dxa"/>
          </w:tcPr>
          <w:p w14:paraId="34F16621">
            <w:pPr>
              <w:jc w:val="left"/>
            </w:pPr>
            <w:r>
              <w:t>核心是卫生间场景的研判规则设计，不是配置规则引擎</w:t>
            </w:r>
          </w:p>
        </w:tc>
      </w:tr>
      <w:tr w14:paraId="21ACD3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2" w:type="dxa"/>
          </w:tcPr>
          <w:p w14:paraId="101A38DB">
            <w:pPr>
              <w:jc w:val="center"/>
            </w:pPr>
            <w:r>
              <w:t>5</w:t>
            </w:r>
          </w:p>
        </w:tc>
        <w:tc>
          <w:tcPr>
            <w:tcW w:w="1662" w:type="dxa"/>
          </w:tcPr>
          <w:p w14:paraId="364ECF0D">
            <w:pPr>
              <w:jc w:val="left"/>
            </w:pPr>
            <w:r>
              <w:t>通行系统</w:t>
            </w:r>
          </w:p>
        </w:tc>
        <w:tc>
          <w:tcPr>
            <w:tcW w:w="1662" w:type="dxa"/>
          </w:tcPr>
          <w:p w14:paraId="65B9B87C">
            <w:pPr>
              <w:jc w:val="center"/>
            </w:pPr>
            <w:r>
              <w:t>🟢低</w:t>
            </w:r>
          </w:p>
        </w:tc>
        <w:tc>
          <w:tcPr>
            <w:tcW w:w="1662" w:type="dxa"/>
          </w:tcPr>
          <w:p w14:paraId="505410B7">
            <w:pPr>
              <w:jc w:val="left"/>
            </w:pPr>
            <w:r>
              <w:t>多品牌设备适配+多模态核验+联动派梯，技术攻关实质较充分</w:t>
            </w:r>
          </w:p>
        </w:tc>
        <w:tc>
          <w:tcPr>
            <w:tcW w:w="1662" w:type="dxa"/>
          </w:tcPr>
          <w:p w14:paraId="12772C34">
            <w:pPr>
              <w:jc w:val="left"/>
            </w:pPr>
            <w:r>
              <w:t>—</w:t>
            </w:r>
          </w:p>
        </w:tc>
      </w:tr>
      <w:tr w14:paraId="2A1F9D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2" w:type="dxa"/>
          </w:tcPr>
          <w:p w14:paraId="626D07C1">
            <w:pPr>
              <w:jc w:val="center"/>
            </w:pPr>
            <w:r>
              <w:t>6</w:t>
            </w:r>
          </w:p>
        </w:tc>
        <w:tc>
          <w:tcPr>
            <w:tcW w:w="1662" w:type="dxa"/>
          </w:tcPr>
          <w:p w14:paraId="3F505BC5">
            <w:pPr>
              <w:jc w:val="left"/>
            </w:pPr>
            <w:r>
              <w:t>会议室系统</w:t>
            </w:r>
          </w:p>
        </w:tc>
        <w:tc>
          <w:tcPr>
            <w:tcW w:w="1662" w:type="dxa"/>
          </w:tcPr>
          <w:p w14:paraId="65F651A2">
            <w:pPr>
              <w:jc w:val="center"/>
            </w:pPr>
            <w:r>
              <w:t>🟢低</w:t>
            </w:r>
          </w:p>
        </w:tc>
        <w:tc>
          <w:tcPr>
            <w:tcW w:w="1662" w:type="dxa"/>
          </w:tcPr>
          <w:p w14:paraId="2BC83A43">
            <w:pPr>
              <w:jc w:val="left"/>
            </w:pPr>
            <w:r>
              <w:t>四协议适配+音视频中控+全链路自动化，技术含量最高</w:t>
            </w:r>
          </w:p>
        </w:tc>
        <w:tc>
          <w:tcPr>
            <w:tcW w:w="1662" w:type="dxa"/>
          </w:tcPr>
          <w:p w14:paraId="6CF04C82">
            <w:pPr>
              <w:jc w:val="left"/>
            </w:pPr>
            <w:r>
              <w:t>作为答辩主力项目</w:t>
            </w:r>
          </w:p>
        </w:tc>
      </w:tr>
    </w:tbl>
    <w:p w14:paraId="0E2B1A24"/>
    <w:p w14:paraId="7E6ADD99">
      <w:pPr>
        <w:pStyle w:val="169"/>
        <w:pBdr>
          <w:top w:val="single" w:color="CCCCCC" w:sz="8" w:space="0"/>
        </w:pBdr>
        <w:spacing w:after="240"/>
      </w:pPr>
    </w:p>
    <w:p w14:paraId="1E1498FD">
      <w:pPr>
        <w:pStyle w:val="169"/>
        <w:pBdr>
          <w:top w:val="single" w:color="CCCCCC" w:sz="8" w:space="0"/>
        </w:pBdr>
        <w:spacing w:after="240"/>
      </w:pPr>
    </w:p>
    <w:p w14:paraId="05B55AB4">
      <w:pPr>
        <w:pStyle w:val="4"/>
      </w:pPr>
      <w:r>
        <w:t>六、论证通用法则（答辩指导）</w:t>
      </w:r>
    </w:p>
    <w:p w14:paraId="0A2E4ED4">
      <w:r>
        <w:t>对每个项目，论证的核心逻辑是同一个：</w:t>
      </w:r>
    </w:p>
    <w:p w14:paraId="03086E44">
      <w:pPr>
        <w:pStyle w:val="164"/>
        <w:pBdr>
          <w:left w:val="single" w:color="CCCCCC" w:sz="24" w:space="0"/>
        </w:pBdr>
        <w:shd w:val="clear" w:fill="F8F8F8"/>
      </w:pPr>
      <w:r>
        <w:rPr>
          <w:b/>
        </w:rPr>
        <w:t>现有技术能解决什么 → 现有技术解决不了什么 → 我们攻破了哪个"解决不了"的点 → 攻破过程中遇到了什么不确定性 → 怎么验证的</w:t>
      </w:r>
    </w:p>
    <w:p w14:paraId="25802356">
      <w:r>
        <w:t>专家最怕听到的是"我们开发了一个系统实现了XX功能"——这是产品描述。要让专家听到的是"XX技术问题目前没有成熟方案，我们通过研究试验，找到了一种解决方法，过程中经历了XX失败和调整"。</w:t>
      </w:r>
    </w:p>
    <w:p w14:paraId="0217161A">
      <w:pPr>
        <w:pStyle w:val="5"/>
      </w:pPr>
      <w:r>
        <w:t>逐项目答辩口径</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71"/>
        <w:gridCol w:w="2771"/>
        <w:gridCol w:w="2771"/>
      </w:tblGrid>
      <w:tr w14:paraId="2C64ED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771" w:type="dxa"/>
            <w:shd w:val="clear" w:color="auto" w:fill="F2F2F2"/>
          </w:tcPr>
          <w:p w14:paraId="1E86F623">
            <w:pPr>
              <w:jc w:val="left"/>
            </w:pPr>
            <w:r>
              <w:rPr>
                <w:b/>
              </w:rPr>
              <w:t>项目</w:t>
            </w:r>
          </w:p>
        </w:tc>
        <w:tc>
          <w:tcPr>
            <w:tcW w:w="2771" w:type="dxa"/>
            <w:shd w:val="clear" w:color="auto" w:fill="F2F2F2"/>
          </w:tcPr>
          <w:p w14:paraId="175B284D">
            <w:pPr>
              <w:jc w:val="left"/>
            </w:pPr>
            <w:r>
              <w:rPr>
                <w:b/>
              </w:rPr>
              <w:t>专家可能质疑</w:t>
            </w:r>
          </w:p>
        </w:tc>
        <w:tc>
          <w:tcPr>
            <w:tcW w:w="2771" w:type="dxa"/>
            <w:shd w:val="clear" w:color="auto" w:fill="F2F2F2"/>
          </w:tcPr>
          <w:p w14:paraId="7C59FDC1">
            <w:pPr>
              <w:jc w:val="left"/>
            </w:pPr>
            <w:r>
              <w:rPr>
                <w:b/>
              </w:rPr>
              <w:t>应对口径</w:t>
            </w:r>
          </w:p>
        </w:tc>
      </w:tr>
      <w:tr w14:paraId="5ED3B4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7886D23D">
            <w:pPr>
              <w:jc w:val="left"/>
            </w:pPr>
            <w:r>
              <w:t>AIoT预研</w:t>
            </w:r>
          </w:p>
        </w:tc>
        <w:tc>
          <w:tcPr>
            <w:tcW w:w="2771" w:type="dxa"/>
          </w:tcPr>
          <w:p w14:paraId="1D46F6D1">
            <w:pPr>
              <w:jc w:val="left"/>
            </w:pPr>
            <w:r>
              <w:t>"这不就是代码重构/技术整合吗"</w:t>
            </w:r>
          </w:p>
        </w:tc>
        <w:tc>
          <w:tcPr>
            <w:tcW w:w="2771" w:type="dxa"/>
          </w:tcPr>
          <w:p w14:paraId="0F6F76B6">
            <w:pPr>
              <w:jc w:val="left"/>
            </w:pPr>
            <w:r>
              <w:t>7种协议通信模型本质不同，简单封装做不到统一接入。我们研究设计了协议无关的统一指令模型，这个抽象过程没有现成答案，需反复试验确定抽象粒度</w:t>
            </w:r>
          </w:p>
        </w:tc>
      </w:tr>
      <w:tr w14:paraId="268A1B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5D65A3E6">
            <w:pPr>
              <w:jc w:val="left"/>
            </w:pPr>
            <w:r>
              <w:t>空间预约</w:t>
            </w:r>
          </w:p>
        </w:tc>
        <w:tc>
          <w:tcPr>
            <w:tcW w:w="2771" w:type="dxa"/>
          </w:tcPr>
          <w:p w14:paraId="178B96C6">
            <w:pPr>
              <w:jc w:val="left"/>
            </w:pPr>
            <w:r>
              <w:t>"预约排程是成熟领域"</w:t>
            </w:r>
          </w:p>
        </w:tc>
        <w:tc>
          <w:tcPr>
            <w:tcW w:w="2771" w:type="dxa"/>
          </w:tcPr>
          <w:p w14:paraId="72A612C4">
            <w:pPr>
              <w:jc w:val="left"/>
            </w:pPr>
            <w:r>
              <w:t>通用排程只做时间冲突检测。楼宇空间预约要同时满足时间+容量+规则+设备配套多维约束，还需要传感器联动实时感知占用状态，现有通用预约系统不具备这些能力</w:t>
            </w:r>
          </w:p>
        </w:tc>
      </w:tr>
      <w:tr w14:paraId="7C99DB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3FC3B97F">
            <w:pPr>
              <w:jc w:val="left"/>
            </w:pPr>
            <w:r>
              <w:t>访客系统</w:t>
            </w:r>
          </w:p>
        </w:tc>
        <w:tc>
          <w:tcPr>
            <w:tcW w:w="2771" w:type="dxa"/>
          </w:tcPr>
          <w:p w14:paraId="14A4CBC9">
            <w:pPr>
              <w:jc w:val="left"/>
            </w:pPr>
            <w:r>
              <w:t>"这就是OA访客管理"</w:t>
            </w:r>
          </w:p>
        </w:tc>
        <w:tc>
          <w:tcPr>
            <w:tcW w:w="2771" w:type="dxa"/>
          </w:tcPr>
          <w:p w14:paraId="1D900F67">
            <w:pPr>
              <w:jc w:val="left"/>
            </w:pPr>
            <w:r>
              <w:t>我们的核心不是流程线上化，是临时通行权限的安全闭环管控。临时权限的跨系统原子性下发和离线场景回收是分布式一致性问题，和OA审批流程本质不同</w:t>
            </w:r>
          </w:p>
        </w:tc>
      </w:tr>
      <w:tr w14:paraId="559B01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7DB02212">
            <w:pPr>
              <w:jc w:val="left"/>
            </w:pPr>
            <w:r>
              <w:t>卫生间系统</w:t>
            </w:r>
          </w:p>
        </w:tc>
        <w:tc>
          <w:tcPr>
            <w:tcW w:w="2771" w:type="dxa"/>
          </w:tcPr>
          <w:p w14:paraId="51C9B278">
            <w:pPr>
              <w:jc w:val="left"/>
            </w:pPr>
            <w:r>
              <w:t>"这就是阈值告警+规则引擎"</w:t>
            </w:r>
          </w:p>
        </w:tc>
        <w:tc>
          <w:tcPr>
            <w:tcW w:w="2771" w:type="dxa"/>
          </w:tcPr>
          <w:p w14:paraId="287FE774">
            <w:pPr>
              <w:jc w:val="left"/>
            </w:pPr>
            <w:r>
              <w:t>单阈值告警误报率极高，无法区分"需清洁""设备故障""传感器漂移"。我们设计了多维度数据融合研判规则，通过时序关联和多条件组合判断告警根因，规则设计本身是技术攻关</w:t>
            </w:r>
          </w:p>
        </w:tc>
      </w:tr>
    </w:tbl>
    <w:p w14:paraId="5FB4CD89"/>
    <w:p w14:paraId="5E188767">
      <w:pPr>
        <w:pStyle w:val="169"/>
        <w:pBdr>
          <w:top w:val="single" w:color="CCCCCC" w:sz="8" w:space="0"/>
        </w:pBdr>
        <w:spacing w:after="240"/>
      </w:pPr>
    </w:p>
    <w:p w14:paraId="0B2B5D02">
      <w:pPr>
        <w:pStyle w:val="4"/>
      </w:pPr>
      <w:r>
        <w:t>七、已完成的资料清单</w:t>
      </w:r>
    </w:p>
    <w:p w14:paraId="7DA0429E">
      <w:pPr>
        <w:pStyle w:val="5"/>
      </w:pPr>
      <w:r>
        <w:t>提交科技局的核心文件（8份）</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56"/>
        <w:gridCol w:w="4156"/>
      </w:tblGrid>
      <w:tr w14:paraId="6F18F7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6" w:type="dxa"/>
            <w:shd w:val="clear" w:color="auto" w:fill="F2F2F2"/>
          </w:tcPr>
          <w:p w14:paraId="2C72B2AB">
            <w:pPr>
              <w:jc w:val="left"/>
            </w:pPr>
            <w:r>
              <w:rPr>
                <w:b/>
              </w:rPr>
              <w:t>文件</w:t>
            </w:r>
          </w:p>
        </w:tc>
        <w:tc>
          <w:tcPr>
            <w:tcW w:w="4156" w:type="dxa"/>
            <w:shd w:val="clear" w:color="auto" w:fill="F2F2F2"/>
          </w:tcPr>
          <w:p w14:paraId="6026F55F">
            <w:pPr>
              <w:jc w:val="left"/>
            </w:pPr>
            <w:r>
              <w:rPr>
                <w:b/>
              </w:rPr>
              <w:t>说明</w:t>
            </w:r>
          </w:p>
        </w:tc>
      </w:tr>
      <w:tr w14:paraId="71C998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6" w:type="dxa"/>
          </w:tcPr>
          <w:p w14:paraId="5F5D0BC0">
            <w:pPr>
              <w:jc w:val="left"/>
            </w:pPr>
            <w:r>
              <w:t>00-总体技术架构说明</w:t>
            </w:r>
          </w:p>
        </w:tc>
        <w:tc>
          <w:tcPr>
            <w:tcW w:w="4156" w:type="dxa"/>
          </w:tcPr>
          <w:p w14:paraId="14A0FB79">
            <w:pPr>
              <w:jc w:val="left"/>
            </w:pPr>
            <w:r>
              <w:t>6个项目的关系定位和技术演进路径</w:t>
            </w:r>
          </w:p>
        </w:tc>
      </w:tr>
      <w:tr w14:paraId="30226E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6" w:type="dxa"/>
          </w:tcPr>
          <w:p w14:paraId="2216B7CE">
            <w:pPr>
              <w:jc w:val="left"/>
            </w:pPr>
            <w:r>
              <w:t>01-通行系统-技术补充说明-v3</w:t>
            </w:r>
          </w:p>
        </w:tc>
        <w:tc>
          <w:tcPr>
            <w:tcW w:w="4156" w:type="dxa"/>
          </w:tcPr>
          <w:p w14:paraId="23D1B38D">
            <w:pPr>
              <w:jc w:val="left"/>
            </w:pPr>
            <w:r>
              <w:t>基于软著实际内容重写</w:t>
            </w:r>
          </w:p>
        </w:tc>
      </w:tr>
      <w:tr w14:paraId="6AA157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6" w:type="dxa"/>
          </w:tcPr>
          <w:p w14:paraId="59824E87">
            <w:pPr>
              <w:jc w:val="left"/>
            </w:pPr>
            <w:r>
              <w:t>02-访客系统-技术补充说明-v3</w:t>
            </w:r>
          </w:p>
        </w:tc>
        <w:tc>
          <w:tcPr>
            <w:tcW w:w="4156" w:type="dxa"/>
          </w:tcPr>
          <w:p w14:paraId="7D041BB2">
            <w:pPr>
              <w:jc w:val="left"/>
            </w:pPr>
            <w:r>
              <w:t>基于软著实际内容重写，强化分布式一致性论证</w:t>
            </w:r>
          </w:p>
        </w:tc>
      </w:tr>
      <w:tr w14:paraId="7CF6B5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6" w:type="dxa"/>
          </w:tcPr>
          <w:p w14:paraId="6F9FB8D4">
            <w:pPr>
              <w:jc w:val="left"/>
            </w:pPr>
            <w:r>
              <w:t>03-空间预约系统-技术补充说明-v3</w:t>
            </w:r>
          </w:p>
        </w:tc>
        <w:tc>
          <w:tcPr>
            <w:tcW w:w="4156" w:type="dxa"/>
          </w:tcPr>
          <w:p w14:paraId="0442FCB6">
            <w:pPr>
              <w:jc w:val="left"/>
            </w:pPr>
            <w:r>
              <w:t>基于软著实际内容重写，强化多维约束排程论证</w:t>
            </w:r>
          </w:p>
        </w:tc>
      </w:tr>
      <w:tr w14:paraId="778035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6" w:type="dxa"/>
          </w:tcPr>
          <w:p w14:paraId="7FDAA5BD">
            <w:pPr>
              <w:jc w:val="left"/>
            </w:pPr>
            <w:r>
              <w:t>04-会议室系统-技术补充说明-v3</w:t>
            </w:r>
          </w:p>
        </w:tc>
        <w:tc>
          <w:tcPr>
            <w:tcW w:w="4156" w:type="dxa"/>
          </w:tcPr>
          <w:p w14:paraId="75182F69">
            <w:pPr>
              <w:jc w:val="left"/>
            </w:pPr>
            <w:r>
              <w:t>基于软著实际内容重写</w:t>
            </w:r>
          </w:p>
        </w:tc>
      </w:tr>
      <w:tr w14:paraId="2345BA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6" w:type="dxa"/>
          </w:tcPr>
          <w:p w14:paraId="5D5B728F">
            <w:pPr>
              <w:jc w:val="left"/>
            </w:pPr>
            <w:r>
              <w:t>05-卫生间系统-技术补充说明-v3</w:t>
            </w:r>
          </w:p>
        </w:tc>
        <w:tc>
          <w:tcPr>
            <w:tcW w:w="4156" w:type="dxa"/>
          </w:tcPr>
          <w:p w14:paraId="09810676">
            <w:pPr>
              <w:jc w:val="left"/>
            </w:pPr>
            <w:r>
              <w:t>基于软著实际内容重写，强化融合研判论证</w:t>
            </w:r>
          </w:p>
        </w:tc>
      </w:tr>
      <w:tr w14:paraId="4E339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6" w:type="dxa"/>
          </w:tcPr>
          <w:p w14:paraId="5D101DD5">
            <w:pPr>
              <w:jc w:val="left"/>
            </w:pPr>
            <w:r>
              <w:t>06-AIoT底层预研-技术研究报告</w:t>
            </w:r>
          </w:p>
        </w:tc>
        <w:tc>
          <w:tcPr>
            <w:tcW w:w="4156" w:type="dxa"/>
          </w:tcPr>
          <w:p w14:paraId="0E84F2FE">
            <w:pPr>
              <w:jc w:val="left"/>
            </w:pPr>
            <w:r>
              <w:t>修订深化版（删除修订说明，标题去掉"修订深化版"）</w:t>
            </w:r>
          </w:p>
        </w:tc>
      </w:tr>
      <w:tr w14:paraId="03DB10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6" w:type="dxa"/>
          </w:tcPr>
          <w:p w14:paraId="075904AB">
            <w:pPr>
              <w:jc w:val="left"/>
            </w:pPr>
            <w:r>
              <w:t>06-AIoT底层预研-技术补充说明-v2</w:t>
            </w:r>
          </w:p>
        </w:tc>
        <w:tc>
          <w:tcPr>
            <w:tcW w:w="4156" w:type="dxa"/>
          </w:tcPr>
          <w:p w14:paraId="37332581">
            <w:pPr>
              <w:jc w:val="left"/>
            </w:pPr>
            <w:r>
              <w:t>强化协议无关统一指令模型论证</w:t>
            </w:r>
          </w:p>
        </w:tc>
      </w:tr>
    </w:tbl>
    <w:p w14:paraId="0E30B642"/>
    <w:p w14:paraId="018DA6D3">
      <w:pPr>
        <w:pStyle w:val="5"/>
      </w:pPr>
      <w:r>
        <w:t>法定资料</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56"/>
        <w:gridCol w:w="4156"/>
      </w:tblGrid>
      <w:tr w14:paraId="5CCA3B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6" w:type="dxa"/>
            <w:shd w:val="clear" w:color="auto" w:fill="F2F2F2"/>
          </w:tcPr>
          <w:p w14:paraId="7FF1C95F">
            <w:pPr>
              <w:jc w:val="left"/>
            </w:pPr>
            <w:r>
              <w:rPr>
                <w:b/>
              </w:rPr>
              <w:t>资料</w:t>
            </w:r>
          </w:p>
        </w:tc>
        <w:tc>
          <w:tcPr>
            <w:tcW w:w="4156" w:type="dxa"/>
            <w:shd w:val="clear" w:color="auto" w:fill="F2F2F2"/>
          </w:tcPr>
          <w:p w14:paraId="156D4A5D">
            <w:pPr>
              <w:jc w:val="left"/>
            </w:pPr>
            <w:r>
              <w:rPr>
                <w:b/>
              </w:rPr>
              <w:t>状态</w:t>
            </w:r>
          </w:p>
        </w:tc>
      </w:tr>
      <w:tr w14:paraId="03690C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6" w:type="dxa"/>
          </w:tcPr>
          <w:p w14:paraId="6C56D049">
            <w:pPr>
              <w:jc w:val="left"/>
            </w:pPr>
            <w:r>
              <w:t>立项报告（6份）</w:t>
            </w:r>
          </w:p>
        </w:tc>
        <w:tc>
          <w:tcPr>
            <w:tcW w:w="4156" w:type="dxa"/>
          </w:tcPr>
          <w:p w14:paraId="1D5C561E">
            <w:pPr>
              <w:jc w:val="left"/>
            </w:pPr>
            <w:r>
              <w:t>原版（已交税局）</w:t>
            </w:r>
          </w:p>
        </w:tc>
      </w:tr>
      <w:tr w14:paraId="2E156A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6" w:type="dxa"/>
          </w:tcPr>
          <w:p w14:paraId="3C85912F">
            <w:pPr>
              <w:jc w:val="left"/>
            </w:pPr>
            <w:r>
              <w:t>立项决议文件（2份）</w:t>
            </w:r>
          </w:p>
        </w:tc>
        <w:tc>
          <w:tcPr>
            <w:tcW w:w="4156" w:type="dxa"/>
          </w:tcPr>
          <w:p w14:paraId="17F37FEC">
            <w:pPr>
              <w:jc w:val="left"/>
            </w:pPr>
            <w:r>
              <w:t>2024年度+2025年度，有公章</w:t>
            </w:r>
          </w:p>
        </w:tc>
      </w:tr>
      <w:tr w14:paraId="717A36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6" w:type="dxa"/>
          </w:tcPr>
          <w:p w14:paraId="739AD235">
            <w:pPr>
              <w:jc w:val="left"/>
            </w:pPr>
            <w:r>
              <w:t>验收报告（6份）</w:t>
            </w:r>
          </w:p>
        </w:tc>
        <w:tc>
          <w:tcPr>
            <w:tcW w:w="4156" w:type="dxa"/>
          </w:tcPr>
          <w:p w14:paraId="1521A768">
            <w:pPr>
              <w:jc w:val="left"/>
            </w:pPr>
            <w:r>
              <w:t>原版（已交税局）</w:t>
            </w:r>
          </w:p>
        </w:tc>
      </w:tr>
      <w:tr w14:paraId="1310A5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6" w:type="dxa"/>
          </w:tcPr>
          <w:p w14:paraId="729D2E3E">
            <w:pPr>
              <w:jc w:val="left"/>
            </w:pPr>
            <w:r>
              <w:t>企业研究开发项目情况表（6份）</w:t>
            </w:r>
          </w:p>
        </w:tc>
        <w:tc>
          <w:tcPr>
            <w:tcW w:w="4156" w:type="dxa"/>
          </w:tcPr>
          <w:p w14:paraId="522695CE">
            <w:pPr>
              <w:jc w:val="left"/>
              <w:rPr>
                <w:rFonts w:hint="default" w:eastAsia="宋体"/>
                <w:lang w:val="en-US" w:eastAsia="zh-CN"/>
              </w:rPr>
            </w:pPr>
            <w:r>
              <w:rPr>
                <w:rFonts w:hint="eastAsia"/>
                <w:lang w:val="en-US" w:eastAsia="zh-CN"/>
              </w:rPr>
              <w:t>待完善</w:t>
            </w:r>
          </w:p>
        </w:tc>
      </w:tr>
      <w:tr w14:paraId="1A2015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6" w:type="dxa"/>
          </w:tcPr>
          <w:p w14:paraId="559C621C">
            <w:pPr>
              <w:jc w:val="left"/>
            </w:pPr>
            <w:r>
              <w:t>研发人员名单</w:t>
            </w:r>
          </w:p>
        </w:tc>
        <w:tc>
          <w:tcPr>
            <w:tcW w:w="4156" w:type="dxa"/>
          </w:tcPr>
          <w:p w14:paraId="08CE3EB9">
            <w:pPr>
              <w:jc w:val="left"/>
              <w:rPr>
                <w:rFonts w:hint="eastAsia" w:eastAsia="宋体"/>
                <w:lang w:eastAsia="zh-CN"/>
              </w:rPr>
            </w:pPr>
            <w:r>
              <w:rPr>
                <w:rFonts w:hint="eastAsia"/>
                <w:lang w:val="en-US" w:eastAsia="zh-CN"/>
              </w:rPr>
              <w:t>已填写</w:t>
            </w:r>
          </w:p>
        </w:tc>
      </w:tr>
      <w:tr w14:paraId="2CD6BA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6" w:type="dxa"/>
          </w:tcPr>
          <w:p w14:paraId="6389517D">
            <w:pPr>
              <w:jc w:val="left"/>
            </w:pPr>
            <w:r>
              <w:t>软著登记申请受理通知书（5份）</w:t>
            </w:r>
          </w:p>
        </w:tc>
        <w:tc>
          <w:tcPr>
            <w:tcW w:w="4156" w:type="dxa"/>
          </w:tcPr>
          <w:p w14:paraId="40D817EF">
            <w:pPr>
              <w:jc w:val="left"/>
              <w:rPr>
                <w:rFonts w:hint="default" w:eastAsia="宋体"/>
                <w:lang w:val="en-US" w:eastAsia="zh-CN"/>
              </w:rPr>
            </w:pPr>
            <w:r>
              <w:rPr>
                <w:rFonts w:hint="eastAsia"/>
                <w:lang w:val="en-US" w:eastAsia="zh-CN"/>
              </w:rPr>
              <w:t>已获取</w:t>
            </w:r>
          </w:p>
        </w:tc>
      </w:tr>
    </w:tbl>
    <w:p w14:paraId="34859071"/>
    <w:p w14:paraId="6071D4E5">
      <w:pPr>
        <w:pStyle w:val="169"/>
        <w:pBdr>
          <w:top w:val="single" w:color="CCCCCC" w:sz="8" w:space="0"/>
        </w:pBdr>
        <w:spacing w:after="240"/>
      </w:pPr>
    </w:p>
    <w:p w14:paraId="72738730">
      <w:pPr>
        <w:pStyle w:val="4"/>
      </w:pPr>
      <w:r>
        <w:rPr>
          <w:rFonts w:hint="eastAsia" w:eastAsia="宋体"/>
          <w:lang w:val="en-US" w:eastAsia="zh-CN"/>
        </w:rPr>
        <w:t>七</w:t>
      </w:r>
      <w:r>
        <w:t>、待完成事项</w:t>
      </w:r>
      <w:bookmarkStart w:id="0" w:name="_GoBack"/>
      <w:bookmarkEnd w:id="0"/>
    </w:p>
    <w:p w14:paraId="00B71B28">
      <w:pPr>
        <w:pStyle w:val="5"/>
      </w:pPr>
      <w:r>
        <w:t>高优先级</w:t>
      </w:r>
    </w:p>
    <w:p w14:paraId="54552D1B">
      <w:pPr>
        <w:pStyle w:val="16"/>
        <w:ind w:left="425"/>
      </w:pPr>
      <w:r>
        <w:rPr>
          <w:rFonts w:ascii="Segoe UI Symbol" w:hAnsi="Segoe UI Symbol"/>
        </w:rPr>
        <w:t xml:space="preserve">☐ </w:t>
      </w:r>
      <w:r>
        <w:t>所有[X]占位符已根据实际情况填写</w:t>
      </w:r>
    </w:p>
    <w:p w14:paraId="3068B28F">
      <w:pPr>
        <w:pStyle w:val="16"/>
        <w:ind w:left="425"/>
      </w:pPr>
      <w:r>
        <w:rPr>
          <w:rFonts w:ascii="Segoe UI Symbol" w:hAnsi="Segoe UI Symbol"/>
        </w:rPr>
        <w:t xml:space="preserve">☐ </w:t>
      </w:r>
      <w:r>
        <w:t>[具体品牌]等占位符已替换为真实品牌名</w:t>
      </w:r>
    </w:p>
    <w:p w14:paraId="31B7806B">
      <w:pPr>
        <w:pStyle w:val="16"/>
        <w:ind w:left="425"/>
      </w:pPr>
      <w:r>
        <w:rPr>
          <w:rFonts w:ascii="Segoe UI Symbol" w:hAnsi="Segoe UI Symbol"/>
        </w:rPr>
        <w:t xml:space="preserve">☐ </w:t>
      </w:r>
      <w:r>
        <w:t>获取5份软著登记申请受理通知书</w:t>
      </w:r>
    </w:p>
    <w:p w14:paraId="26F5043D">
      <w:pPr>
        <w:pStyle w:val="16"/>
        <w:ind w:left="425"/>
      </w:pPr>
      <w:r>
        <w:rPr>
          <w:rFonts w:ascii="Segoe UI Symbol" w:hAnsi="Segoe UI Symbol"/>
        </w:rPr>
        <w:t xml:space="preserve">☐ </w:t>
      </w:r>
      <w:r>
        <w:t>填写研发人员名单（含学历、专业、分工）</w:t>
      </w:r>
    </w:p>
    <w:p w14:paraId="7D9E9165">
      <w:pPr>
        <w:pStyle w:val="16"/>
        <w:ind w:left="425"/>
      </w:pPr>
      <w:r>
        <w:rPr>
          <w:rFonts w:ascii="Segoe UI Symbol" w:hAnsi="Segoe UI Symbol"/>
        </w:rPr>
        <w:t xml:space="preserve">☐ </w:t>
      </w:r>
      <w:r>
        <w:t>联系查新机构启动科技查新（建议优先AIoT预研和通行系统，一般需10-15个工作日）</w:t>
      </w:r>
    </w:p>
    <w:p w14:paraId="1DF22E0C">
      <w:pPr>
        <w:pStyle w:val="5"/>
      </w:pPr>
      <w:r>
        <w:t>中优先级</w:t>
      </w:r>
    </w:p>
    <w:p w14:paraId="3194765E">
      <w:pPr>
        <w:pStyle w:val="16"/>
        <w:ind w:left="425"/>
      </w:pPr>
      <w:r>
        <w:rPr>
          <w:rFonts w:ascii="Segoe UI Symbol" w:hAnsi="Segoe UI Symbol"/>
        </w:rPr>
        <w:t xml:space="preserve">☐ </w:t>
      </w:r>
      <w:r>
        <w:t>整理研发过程佐证材料（代码提交记录、技术评审记录、测试报告）</w:t>
      </w:r>
    </w:p>
    <w:p w14:paraId="7B823C46">
      <w:pPr>
        <w:pStyle w:val="16"/>
        <w:ind w:left="425"/>
      </w:pPr>
      <w:r>
        <w:rPr>
          <w:rFonts w:ascii="Segoe UI Symbol" w:hAnsi="Segoe UI Symbol"/>
        </w:rPr>
        <w:t xml:space="preserve">☐ </w:t>
      </w:r>
      <w:r>
        <w:t>准备答辩口径（重点准备AIoT预研和空间预约的专家质疑应对）</w:t>
      </w:r>
    </w:p>
    <w:p w14:paraId="6EB67726">
      <w:pPr>
        <w:pStyle w:val="16"/>
        <w:ind w:left="425"/>
      </w:pPr>
      <w:r>
        <w:rPr>
          <w:rFonts w:ascii="Segoe UI Symbol" w:hAnsi="Segoe UI Symbol"/>
        </w:rPr>
        <w:t xml:space="preserve">☐ </w:t>
      </w:r>
      <w:r>
        <w:t>确认立项报告、验收报告与税局存档版本一致</w:t>
      </w:r>
    </w:p>
    <w:p w14:paraId="443C3D7B">
      <w:pPr>
        <w:pStyle w:val="5"/>
      </w:pPr>
      <w:r>
        <w:t>低优先级</w:t>
      </w:r>
    </w:p>
    <w:p w14:paraId="4B572D6E">
      <w:pPr>
        <w:pStyle w:val="16"/>
        <w:ind w:left="425"/>
      </w:pPr>
      <w:r>
        <w:rPr>
          <w:rFonts w:ascii="Segoe UI Symbol" w:hAnsi="Segoe UI Symbol"/>
        </w:rPr>
        <w:t xml:space="preserve">☐ </w:t>
      </w:r>
      <w:r>
        <w:t>软著证书审核通过后，可补交替换受理通知书</w:t>
      </w:r>
    </w:p>
    <w:p w14:paraId="31D3D807">
      <w:pPr>
        <w:pStyle w:val="16"/>
        <w:ind w:left="425"/>
      </w:pPr>
      <w:r>
        <w:rPr>
          <w:rFonts w:ascii="Segoe UI Symbol" w:hAnsi="Segoe UI Symbol"/>
        </w:rPr>
        <w:t xml:space="preserve">☐ </w:t>
      </w:r>
      <w:r>
        <w:t>如有第三方检测报告，作为佐证补充提交</w:t>
      </w:r>
    </w:p>
    <w:p w14:paraId="3019A361">
      <w:pPr>
        <w:pStyle w:val="164"/>
        <w:pBdr>
          <w:left w:val="single" w:color="CCCCCC" w:sz="24" w:space="0"/>
        </w:pBdr>
        <w:shd w:val="clear" w:fill="F8F8F8"/>
      </w:pPr>
    </w:p>
    <w:sectPr>
      <w:pgSz w:w="11906" w:h="16838"/>
      <w:pgMar w:top="1440" w:right="1797" w:bottom="1440" w:left="179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楷体">
    <w:panose1 w:val="02010609060101010101"/>
    <w:charset w:val="86"/>
    <w:family w:val="auto"/>
    <w:pitch w:val="default"/>
    <w:sig w:usb0="800002BF" w:usb1="38CF7CFA" w:usb2="00000016" w:usb3="00000000" w:csb0="00040001" w:csb1="00000000"/>
  </w:font>
  <w:font w:name="Segoe UI Symbol">
    <w:panose1 w:val="020B0502040204020203"/>
    <w:charset w:val="00"/>
    <w:family w:val="auto"/>
    <w:pitch w:val="default"/>
    <w:sig w:usb0="800001E3" w:usb1="1200FFEF" w:usb2="00040000" w:usb3="04000000" w:csb0="00000001" w:csb1="4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Emoji">
    <w:panose1 w:val="020B0502040204020203"/>
    <w:charset w:val="00"/>
    <w:family w:val="auto"/>
    <w:pitch w:val="default"/>
    <w:sig w:usb0="00000001" w:usb1="02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8"/>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EAD54D4"/>
    <w:rsid w:val="765F532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20" w:line="276" w:lineRule="auto"/>
    </w:pPr>
    <w:rPr>
      <w:rFonts w:ascii="宋体" w:hAnsi="宋体" w:eastAsia="宋体" w:cstheme="minorBidi"/>
      <w:color w:val="000000"/>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164">
    <w:name w:val="Blockquote"/>
    <w:basedOn w:val="1"/>
    <w:qFormat/>
    <w:uiPriority w:val="0"/>
    <w:rPr>
      <w:rFonts w:ascii="楷体" w:hAnsi="楷体" w:eastAsia="楷体"/>
      <w:color w:val="444444"/>
      <w:sz w:val="22"/>
    </w:rPr>
  </w:style>
  <w:style w:type="character" w:customStyle="1" w:styleId="165">
    <w:name w:val="CodeChar"/>
    <w:basedOn w:val="132"/>
    <w:qFormat/>
    <w:uiPriority w:val="0"/>
    <w:rPr>
      <w:rFonts w:ascii="Courier New" w:hAnsi="Courier New" w:eastAsia="Courier New"/>
      <w:color w:val="000000"/>
      <w:sz w:val="20"/>
    </w:rPr>
  </w:style>
  <w:style w:type="paragraph" w:customStyle="1" w:styleId="166">
    <w:name w:val="ListBullet"/>
    <w:qFormat/>
    <w:uiPriority w:val="0"/>
    <w:pPr>
      <w:spacing w:after="200" w:line="276" w:lineRule="auto"/>
    </w:pPr>
    <w:rPr>
      <w:rFonts w:ascii="宋体" w:hAnsi="宋体" w:eastAsia="宋体" w:cstheme="minorBidi"/>
      <w:color w:val="000000"/>
      <w:sz w:val="22"/>
      <w:szCs w:val="22"/>
      <w:lang w:val="en-US" w:eastAsia="en-US" w:bidi="ar-SA"/>
    </w:rPr>
  </w:style>
  <w:style w:type="paragraph" w:customStyle="1" w:styleId="167">
    <w:name w:val="ListNumber"/>
    <w:qFormat/>
    <w:uiPriority w:val="0"/>
    <w:pPr>
      <w:spacing w:after="200" w:line="276" w:lineRule="auto"/>
    </w:pPr>
    <w:rPr>
      <w:rFonts w:ascii="宋体" w:hAnsi="宋体" w:eastAsia="宋体" w:cstheme="minorBidi"/>
      <w:color w:val="000000"/>
      <w:sz w:val="22"/>
      <w:szCs w:val="22"/>
      <w:lang w:val="en-US" w:eastAsia="en-US" w:bidi="ar-SA"/>
    </w:rPr>
  </w:style>
  <w:style w:type="paragraph" w:customStyle="1" w:styleId="168">
    <w:name w:val="Table"/>
    <w:basedOn w:val="1"/>
    <w:qFormat/>
    <w:uiPriority w:val="0"/>
    <w:pPr>
      <w:jc w:val="center"/>
    </w:pPr>
    <w:rPr>
      <w:rFonts w:ascii="宋体" w:hAnsi="宋体" w:eastAsia="宋体"/>
      <w:sz w:val="20"/>
    </w:rPr>
  </w:style>
  <w:style w:type="paragraph" w:customStyle="1" w:styleId="169">
    <w:name w:val="HorizontalRule"/>
    <w:basedOn w:val="1"/>
    <w:qFormat/>
    <w:uiPriority w:val="0"/>
    <w:pPr>
      <w:spacing w:after="240"/>
    </w:pPr>
    <w:rPr>
      <w:color w:val="CCCCCC"/>
    </w:rPr>
  </w:style>
  <w:style w:type="paragraph" w:customStyle="1" w:styleId="170">
    <w:name w:val="Footnote"/>
    <w:basedOn w:val="1"/>
    <w:qFormat/>
    <w:uiPriority w:val="0"/>
    <w:rPr>
      <w:rFonts w:ascii="宋体" w:hAnsi="宋体" w:eastAsia="宋体"/>
      <w:color w:val="666666"/>
      <w:sz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13</Pages>
  <Words>821</Words>
  <Characters>848</Characters>
  <Lines>0</Lines>
  <Paragraphs>0</Paragraphs>
  <TotalTime>56</TotalTime>
  <ScaleCrop>false</ScaleCrop>
  <LinksUpToDate>false</LinksUpToDate>
  <CharactersWithSpaces>866</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MarkdownToDocx Converter</dc:creator>
  <dc:description>Converted from Markdown to DOCX</dc:description>
  <cp:lastModifiedBy>=</cp:lastModifiedBy>
  <dcterms:modified xsi:type="dcterms:W3CDTF">2026-05-28T09:12:57Z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eyJoZGlkIjoiMDJkMTk1ZjliYzhjODM2ZjhlZWEyODgzY2E4NjkzOGQiLCJ1c2VySWQiOiIyNzg3MTM5OTYifQ==</vt:lpwstr>
  </property>
  <property fmtid="{D5CDD505-2E9C-101B-9397-08002B2CF9AE}" pid="3" name="KSOProductBuildVer">
    <vt:lpwstr>2052-12.1.0.26375</vt:lpwstr>
  </property>
  <property fmtid="{D5CDD505-2E9C-101B-9397-08002B2CF9AE}" pid="4" name="ICV">
    <vt:lpwstr>67D9EC24BD5E460A8C692F7B354135AF_12</vt:lpwstr>
  </property>
</Properties>
</file>