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仿宋" w:hAnsi="仿宋" w:eastAsia="仿宋" w:cs="仿宋"/>
          <w:sz w:val="28"/>
          <w:szCs w:val="28"/>
          <w:lang w:val="en-US" w:eastAsia="en-US" w:bidi="ar-SA"/>
        </w:rPr>
        <w:id w:val="147461915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1"/>
          <w:szCs w:val="24"/>
          <w:lang w:val="en-US" w:eastAsia="en-US" w:bidi="ar-SA"/>
        </w:rPr>
      </w:sdtEndPr>
      <w:sdtContent>
        <w:p w14:paraId="6262ECE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仿宋" w:hAnsi="仿宋" w:eastAsia="仿宋" w:cs="仿宋"/>
              <w:sz w:val="28"/>
              <w:szCs w:val="28"/>
            </w:rPr>
          </w:pPr>
          <w:bookmarkStart w:id="0" w:name="极企智能楼宇技术体系研发总体说明"/>
          <w:r>
            <w:rPr>
              <w:rFonts w:hint="eastAsia" w:ascii="仿宋" w:hAnsi="仿宋" w:eastAsia="仿宋" w:cs="仿宋"/>
              <w:sz w:val="28"/>
              <w:szCs w:val="28"/>
            </w:rPr>
            <w:t>目录</w:t>
          </w:r>
        </w:p>
        <w:p w14:paraId="132DD1F2">
          <w:pPr>
            <w:pStyle w:val="16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TOC \o "1-3" \h \u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_Toc23658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极企智能楼宇技术体系研发总体说明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_Toc23658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84C7DCF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_Toc16678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一、研发总体情况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_Toc16678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1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035036D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_Toc3251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二、为什么分立6个项目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_Toc3251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4AD27ED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_Toc5560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2.1 各项目有独立的技术攻关方向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_Toc5560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C6AE146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_Toc27864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2.2 各项目的技术攻关是独立完成的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_Toc27864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5013ACE9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_Toc12641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2.3 AIoT预研的启动背景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_Toc12641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B9D7795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_Toc25790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三、共享技术栈说明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_Toc25790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3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601C78E7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_Toc27566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四、5个应用系统之间的业务联动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_Toc27566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D724FE9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_Toc18424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五、5个应用系统与AIoT预研的技术关系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_Toc18424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248B7918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_Toc9019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5.1 关系定位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_Toc9019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4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068DF59E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_Toc14014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5.2 AIoT预研的技术来源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_Toc14014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5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940E476">
          <w:pPr>
            <w:pStyle w:val="14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_Toc27459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5.3 AIoT预研的创新性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_Toc27459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5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115E7053">
          <w:pPr>
            <w:pStyle w:val="20"/>
            <w:tabs>
              <w:tab w:val="right" w:leader="dot" w:pos="8640"/>
            </w:tabs>
            <w:rPr>
              <w:rFonts w:hint="eastAsia" w:ascii="仿宋" w:hAnsi="仿宋" w:eastAsia="仿宋" w:cs="仿宋"/>
              <w:sz w:val="28"/>
              <w:szCs w:val="28"/>
            </w:rPr>
          </w:pP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HYPERLINK \l _Toc9144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六、总结</w:t>
          </w:r>
          <w:r>
            <w:rPr>
              <w:rFonts w:hint="eastAsia" w:ascii="仿宋" w:hAnsi="仿宋" w:eastAsia="仿宋" w:cs="仿宋"/>
              <w:sz w:val="28"/>
              <w:szCs w:val="28"/>
            </w:rPr>
            <w:tab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begin"/>
          </w:r>
          <w:r>
            <w:rPr>
              <w:rFonts w:hint="eastAsia" w:ascii="仿宋" w:hAnsi="仿宋" w:eastAsia="仿宋" w:cs="仿宋"/>
              <w:sz w:val="28"/>
              <w:szCs w:val="28"/>
            </w:rPr>
            <w:instrText xml:space="preserve"> PAGEREF _Toc9144 \h </w:instrTex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separate"/>
          </w:r>
          <w:r>
            <w:rPr>
              <w:rFonts w:hint="eastAsia" w:ascii="仿宋" w:hAnsi="仿宋" w:eastAsia="仿宋" w:cs="仿宋"/>
              <w:sz w:val="28"/>
              <w:szCs w:val="28"/>
            </w:rPr>
            <w:t>6</w:t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  <w:p w14:paraId="63F0C5C1">
          <w:r>
            <w:rPr>
              <w:rFonts w:hint="eastAsia" w:ascii="仿宋" w:hAnsi="仿宋" w:eastAsia="仿宋" w:cs="仿宋"/>
              <w:sz w:val="28"/>
              <w:szCs w:val="28"/>
            </w:rPr>
            <w:fldChar w:fldCharType="end"/>
          </w:r>
        </w:p>
      </w:sdtContent>
    </w:sdt>
    <w:p w14:paraId="510BA838"/>
    <w:p w14:paraId="2583E3BA"/>
    <w:p w14:paraId="7C23FE88"/>
    <w:p w14:paraId="17235DC1"/>
    <w:p w14:paraId="7BB02F50"/>
    <w:p w14:paraId="711714C1"/>
    <w:p w14:paraId="4DFEE267"/>
    <w:p w14:paraId="3271AD91"/>
    <w:p w14:paraId="07C13E09"/>
    <w:p w14:paraId="58664A6E"/>
    <w:p w14:paraId="74E0179E"/>
    <w:p w14:paraId="6980F869">
      <w:pPr>
        <w:pStyle w:val="2"/>
      </w:pPr>
      <w:bookmarkStart w:id="1" w:name="_Toc23658"/>
      <w:r>
        <w:t>极企智能楼宇技术体系研发总体说明</w:t>
      </w:r>
      <w:bookmarkEnd w:id="0"/>
      <w:bookmarkEnd w:id="1"/>
    </w:p>
    <w:p w14:paraId="665BBEC1">
      <w:pPr>
        <w:pStyle w:val="4"/>
      </w:pPr>
      <w:bookmarkStart w:id="2" w:name="一研发总体情况"/>
      <w:bookmarkStart w:id="3" w:name="_Toc16678"/>
      <w:r>
        <w:t>一、研发总体情况</w:t>
      </w:r>
      <w:bookmarkEnd w:id="2"/>
      <w:bookmarkEnd w:id="3"/>
    </w:p>
    <w:p w14:paraId="2DAF9860">
      <w:pPr>
        <w:pStyle w:val="26"/>
      </w:pPr>
      <w:r>
        <w:t>成都极企科技有限公司围绕楼宇智能化领域，系统性开展了6项研发工作，形成了以Buildingos.ai为统一技术平台的智能楼宇全场景产品体系。</w:t>
      </w:r>
    </w:p>
    <w:p w14:paraId="794C29B7">
      <w:pPr>
        <w:pStyle w:val="3"/>
        <w:rPr>
          <w:rFonts w:hint="eastAsia" w:eastAsia="宋体"/>
          <w:lang w:eastAsia="zh-CN"/>
        </w:rPr>
      </w:pPr>
      <w:r>
        <w:t>6个研发项目并非“先建底座再建应用”的先后关系，而是</w:t>
      </w:r>
      <w:r>
        <w:rPr>
          <w:b/>
        </w:rPr>
        <w:t>并行推进、互相促进</w:t>
      </w:r>
      <w:r>
        <w:t>的演进过程</w:t>
      </w:r>
      <w:r>
        <w:rPr>
          <w:rFonts w:hint="eastAsia" w:eastAsia="宋体"/>
          <w:lang w:eastAsia="zh-CN"/>
        </w:rPr>
        <w:t>：</w:t>
      </w:r>
    </w:p>
    <w:p w14:paraId="5060A7A1">
      <w:pPr>
        <w:pStyle w:val="39"/>
        <w:rPr>
          <w:rStyle w:val="38"/>
        </w:rPr>
      </w:pPr>
      <w:r>
        <w:rPr>
          <w:sz w:val="24"/>
        </w:rPr>
        <w:pict>
          <v:shape id="_x0000_s1030" o:spid="_x0000_s1030" o:spt="202" type="#_x0000_t202" style="position:absolute;left:0pt;margin-left:352.05pt;margin-top:23.2pt;height:72pt;width:91.05pt;z-index:251663360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style="mso-fit-shape-to-text:t;">
              <w:txbxContent>
                <w:p w14:paraId="7371435F">
                  <w:pPr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卫生间系统</w:t>
                  </w:r>
                </w:p>
                <w:p w14:paraId="35AEC30F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2025.2</w:t>
                  </w:r>
                </w:p>
              </w:txbxContent>
            </v:textbox>
          </v:shape>
        </w:pict>
      </w:r>
      <w:r>
        <w:rPr>
          <w:sz w:val="24"/>
        </w:rPr>
        <w:pict>
          <v:shape id="_x0000_s1026" o:spid="_x0000_s1026" o:spt="202" type="#_x0000_t202" style="position:absolute;left:0pt;margin-left:-11.05pt;margin-top:24.15pt;height:72pt;width:72pt;z-index:251659264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 style="mso-fit-shape-to-text:t;">
              <w:txbxContent>
                <w:p w14:paraId="3968B2E1">
                  <w:pPr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通行系统</w:t>
                  </w:r>
                </w:p>
                <w:p w14:paraId="137E9327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2024.1</w:t>
                  </w:r>
                </w:p>
              </w:txbxContent>
            </v:textbox>
          </v:shape>
        </w:pict>
      </w:r>
      <w:r>
        <w:rPr>
          <w:rStyle w:val="38"/>
        </w:rPr>
        <w:t>阶段一（2024.1-2025.7）：5个应用系统并行研发</w:t>
      </w:r>
    </w:p>
    <w:p w14:paraId="4BC38907">
      <w:pPr>
        <w:pStyle w:val="39"/>
        <w:rPr>
          <w:rStyle w:val="38"/>
        </w:rPr>
      </w:pPr>
      <w:r>
        <w:rPr>
          <w:sz w:val="24"/>
        </w:rPr>
        <w:pict>
          <v:shape id="_x0000_s1029" o:spid="_x0000_s1029" o:spt="202" type="#_x0000_t202" style="position:absolute;left:0pt;margin-left:264.05pt;margin-top:1pt;height:72pt;width:76.75pt;z-index:251662336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 style="mso-fit-shape-to-text:t;">
              <w:txbxContent>
                <w:p w14:paraId="46264A5A">
                  <w:pPr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会议室系统</w:t>
                  </w:r>
                </w:p>
                <w:p w14:paraId="288906A4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2025.1</w:t>
                  </w:r>
                </w:p>
              </w:txbxContent>
            </v:textbox>
          </v:shape>
        </w:pict>
      </w:r>
      <w:r>
        <w:rPr>
          <w:sz w:val="24"/>
        </w:rPr>
        <w:pict>
          <v:shape id="_x0000_s1028" o:spid="_x0000_s1028" o:spt="202" type="#_x0000_t202" style="position:absolute;left:0pt;margin-left:165.25pt;margin-top:0.95pt;height:56.85pt;width:91.2pt;z-index:251661312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48D990D2">
                  <w:pPr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空间预约系统</w:t>
                  </w:r>
                </w:p>
                <w:p w14:paraId="35ADFF7B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2024.5</w:t>
                  </w:r>
                </w:p>
              </w:txbxContent>
            </v:textbox>
          </v:shape>
        </w:pict>
      </w:r>
      <w:r>
        <w:rPr>
          <w:sz w:val="24"/>
        </w:rPr>
        <w:pict>
          <v:shape id="_x0000_s1027" o:spid="_x0000_s1027" o:spt="202" type="#_x0000_t202" style="position:absolute;left:0pt;margin-left:82.1pt;margin-top:0.3pt;height:72pt;width:72pt;z-index:251660288;mso-width-relative:page;mso-height-relative:page;" fillcolor="#FFFFFF" filled="t" stroked="t" coordsize="21600,21600">
            <v:path/>
            <v:fill on="t" focussize="0,0"/>
            <v:stroke color="#000000"/>
            <v:imagedata o:title=""/>
            <o:lock v:ext="edit" aspectratio="f"/>
            <v:textbox style="mso-fit-shape-to-text:t;">
              <w:txbxContent>
                <w:p w14:paraId="7A4BFA72">
                  <w:pPr>
                    <w:jc w:val="center"/>
                    <w:rPr>
                      <w:rFonts w:hint="eastAsia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访客系统</w:t>
                  </w:r>
                </w:p>
                <w:p w14:paraId="1FBACFFB">
                  <w:pPr>
                    <w:jc w:val="center"/>
                    <w:rPr>
                      <w:rFonts w:hint="default" w:eastAsia="宋体"/>
                      <w:lang w:val="en-US" w:eastAsia="zh-CN"/>
                    </w:rPr>
                  </w:pPr>
                  <w:r>
                    <w:rPr>
                      <w:rFonts w:hint="eastAsia" w:eastAsia="宋体"/>
                      <w:lang w:val="en-US" w:eastAsia="zh-CN"/>
                    </w:rPr>
                    <w:t>2024.3</w:t>
                  </w:r>
                </w:p>
              </w:txbxContent>
            </v:textbox>
          </v:shape>
        </w:pict>
      </w:r>
    </w:p>
    <w:p w14:paraId="4A7C1552">
      <w:pPr>
        <w:pStyle w:val="39"/>
        <w:rPr>
          <w:rStyle w:val="38"/>
        </w:rPr>
      </w:pPr>
    </w:p>
    <w:p w14:paraId="15F79511">
      <w:pPr>
        <w:pStyle w:val="39"/>
        <w:rPr>
          <w:rStyle w:val="38"/>
        </w:rPr>
      </w:pPr>
    </w:p>
    <w:p w14:paraId="3FF792AE">
      <w:pPr>
        <w:pStyle w:val="39"/>
        <w:rPr>
          <w:rStyle w:val="38"/>
        </w:rPr>
      </w:pPr>
      <w:r>
        <w:rPr>
          <w:sz w:val="24"/>
        </w:rPr>
        <w:pict>
          <v:shape id="_x0000_s1031" o:spid="_x0000_s1031" o:spt="202" type="#_x0000_t202" style="position:absolute;left:0pt;margin-left:-7.9pt;margin-top:118.3pt;height:88.3pt;width:320.1pt;z-index:251664384;mso-width-relative:page;mso-height-relative:page;" fillcolor="#FFFFFF" filled="t" stroked="t" coordsize="21600,2160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 w14:paraId="253D2A7E">
                  <w:pPr>
                    <w:jc w:val="left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Style w:val="38"/>
                    </w:rPr>
                    <w:t xml:space="preserve">从5个系统的技术实践中提炼共性，研究设计：              </w:t>
                  </w:r>
                  <w:r>
                    <w:br w:type="textWrapping"/>
                  </w:r>
                  <w:r>
                    <w:rPr>
                      <w:rStyle w:val="38"/>
                    </w:rPr>
                    <w:t xml:space="preserve">· 统一的多协议适配框架（替代各系统各自的适配实现）      </w:t>
                  </w:r>
                  <w:r>
                    <w:br w:type="textWrapping"/>
                  </w:r>
                  <w:r>
                    <w:rPr>
                      <w:rStyle w:val="38"/>
                    </w:rPr>
                    <w:t xml:space="preserve"> · 统一的数据交互规范（替代各系统各自的数据格式）        </w:t>
                  </w:r>
                  <w:r>
                    <w:br w:type="textWrapping"/>
                  </w:r>
                  <w:r>
                    <w:rPr>
                      <w:rStyle w:val="38"/>
                    </w:rPr>
                    <w:t xml:space="preserve"> · 统一的设备接入标准（替代各系统各自的接入逻辑）        </w:t>
                  </w:r>
                  <w:r>
                    <w:br w:type="textWrapping"/>
                  </w:r>
                  <w:r>
                    <w:rPr>
                      <w:rStyle w:val="38"/>
                    </w:rPr>
                    <w:t xml:space="preserve"> · 分布式底层架构设计（支撑后续产品规模化部署）</w:t>
                  </w:r>
                </w:p>
              </w:txbxContent>
            </v:textbox>
          </v:shape>
        </w:pict>
      </w:r>
      <w:r>
        <w:rPr>
          <w:rStyle w:val="38"/>
        </w:rPr>
        <w:t xml:space="preserve">各自独立攻关本场景的技术问题   </w:t>
      </w:r>
      <w:r>
        <w:br w:type="textWrapping"/>
      </w:r>
      <w:r>
        <w:rPr>
          <w:rStyle w:val="38"/>
        </w:rPr>
        <w:t xml:space="preserve">      ↓</w:t>
      </w:r>
      <w:r>
        <w:br w:type="textWrapping"/>
      </w:r>
      <w:r>
        <w:rPr>
          <w:rStyle w:val="38"/>
        </w:rPr>
        <w:t>开发过程中发现共性需求和重复工作：</w:t>
      </w:r>
      <w:r>
        <w:br w:type="textWrapping"/>
      </w:r>
      <w:r>
        <w:rPr>
          <w:rStyle w:val="38"/>
        </w:rPr>
        <w:t xml:space="preserve">   · 各系统分别实现设备对接，协议适配工作大量重复</w:t>
      </w:r>
      <w:r>
        <w:br w:type="textWrapping"/>
      </w:r>
      <w:r>
        <w:rPr>
          <w:rStyle w:val="38"/>
        </w:rPr>
        <w:t xml:space="preserve">   · 各系统数据格式和接口标准不统一，跨系统联动困难</w:t>
      </w:r>
      <w:r>
        <w:br w:type="textWrapping"/>
      </w:r>
      <w:r>
        <w:rPr>
          <w:rStyle w:val="38"/>
        </w:rPr>
        <w:t xml:space="preserve">   · 新增设备需在每个系统中分别开发适配逻辑</w:t>
      </w:r>
      <w:r>
        <w:br w:type="textWrapping"/>
      </w:r>
      <w:r>
        <w:rPr>
          <w:rStyle w:val="38"/>
        </w:rPr>
        <w:t xml:space="preserve">      ↓</w:t>
      </w:r>
      <w:r>
        <w:br w:type="textWrapping"/>
      </w:r>
      <w:r>
        <w:rPr>
          <w:rStyle w:val="38"/>
        </w:rPr>
        <w:t>阶段二（2025.8-2025.12）：AIoT底层技术预研</w:t>
      </w:r>
    </w:p>
    <w:p w14:paraId="1BD6F61E">
      <w:pPr>
        <w:pStyle w:val="39"/>
        <w:rPr>
          <w:rStyle w:val="38"/>
        </w:rPr>
      </w:pPr>
    </w:p>
    <w:p w14:paraId="4080BF4E">
      <w:pPr>
        <w:pStyle w:val="39"/>
        <w:rPr>
          <w:rStyle w:val="38"/>
        </w:rPr>
      </w:pPr>
    </w:p>
    <w:p w14:paraId="6197E1FA">
      <w:pPr>
        <w:pStyle w:val="39"/>
        <w:rPr>
          <w:rStyle w:val="38"/>
        </w:rPr>
      </w:pPr>
    </w:p>
    <w:p w14:paraId="34BCE032">
      <w:pPr>
        <w:pStyle w:val="39"/>
      </w:pPr>
      <w:r>
        <w:br w:type="textWrapping"/>
      </w:r>
      <w:r>
        <w:rPr>
          <w:rStyle w:val="38"/>
        </w:rPr>
        <w:t xml:space="preserve">      ↓</w:t>
      </w:r>
    </w:p>
    <w:p w14:paraId="0B656E01">
      <w:pPr>
        <w:pStyle w:val="39"/>
      </w:pPr>
      <w:r>
        <w:rPr>
          <w:rStyle w:val="38"/>
        </w:rPr>
        <w:t>后续：5个系统基于统一框架持续迭代，新系统基于框架快速开发</w:t>
      </w:r>
    </w:p>
    <w:p w14:paraId="60CCF032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7519F83">
      <w:pPr>
        <w:pStyle w:val="4"/>
      </w:pPr>
      <w:bookmarkStart w:id="4" w:name="二为什么分立6个项目"/>
      <w:bookmarkStart w:id="5" w:name="_Toc3251"/>
      <w:r>
        <w:t>二、为什么分立6个项目</w:t>
      </w:r>
      <w:bookmarkEnd w:id="4"/>
      <w:bookmarkEnd w:id="5"/>
    </w:p>
    <w:p w14:paraId="3E030D11">
      <w:pPr>
        <w:pStyle w:val="5"/>
      </w:pPr>
      <w:bookmarkStart w:id="6" w:name="_Toc5560"/>
      <w:bookmarkStart w:id="7" w:name="各项目有独立的技术攻关方向"/>
      <w:r>
        <w:t>2.1 各项目有独立的技术攻关方向</w:t>
      </w:r>
      <w:bookmarkEnd w:id="6"/>
      <w:bookmarkEnd w:id="7"/>
    </w:p>
    <w:p w14:paraId="4FDF91ED">
      <w:pPr>
        <w:pStyle w:val="26"/>
      </w:pPr>
      <w:r>
        <w:t>6个研发项目分立立项，是因为各项目面向不同的技术问题，具有不同的技术攻关方向：</w:t>
      </w:r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1032"/>
        <w:gridCol w:w="5534"/>
        <w:gridCol w:w="1150"/>
      </w:tblGrid>
      <w:tr w14:paraId="41DC0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D9201E9">
            <w:pPr>
              <w:pStyle w:val="27"/>
              <w:jc w:val="left"/>
            </w:pPr>
            <w:r>
              <w:t>项目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4C46332">
            <w:pPr>
              <w:pStyle w:val="27"/>
              <w:jc w:val="left"/>
            </w:pPr>
            <w:r>
              <w:t>立项时间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65B6E4C">
            <w:pPr>
              <w:pStyle w:val="27"/>
              <w:jc w:val="left"/>
            </w:pPr>
            <w:r>
              <w:t>核心技术攻关方向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32C57BF">
            <w:pPr>
              <w:pStyle w:val="27"/>
              <w:jc w:val="left"/>
            </w:pPr>
            <w:r>
              <w:t>技术领域</w:t>
            </w:r>
          </w:p>
        </w:tc>
      </w:tr>
      <w:tr w14:paraId="61CC5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8FE10D">
            <w:pPr>
              <w:pStyle w:val="27"/>
              <w:jc w:val="left"/>
            </w:pPr>
            <w:r>
              <w:t>通行系统</w:t>
            </w:r>
          </w:p>
        </w:tc>
        <w:tc>
          <w:p w14:paraId="36EDB2FE">
            <w:pPr>
              <w:pStyle w:val="27"/>
              <w:jc w:val="left"/>
            </w:pPr>
            <w:r>
              <w:t>2024.1</w:t>
            </w:r>
          </w:p>
        </w:tc>
        <w:tc>
          <w:p w14:paraId="5D0691E1">
            <w:pPr>
              <w:pStyle w:val="27"/>
              <w:jc w:val="left"/>
            </w:pPr>
            <w:r>
              <w:t>多模态核验调度、多品牌门禁/梯控设备独立适配与权限同步、门禁-梯控联动派梯</w:t>
            </w:r>
          </w:p>
        </w:tc>
        <w:tc>
          <w:p w14:paraId="74094140">
            <w:pPr>
              <w:pStyle w:val="27"/>
              <w:jc w:val="left"/>
            </w:pPr>
            <w:r>
              <w:t>安防通行技术</w:t>
            </w:r>
          </w:p>
        </w:tc>
      </w:tr>
      <w:tr w14:paraId="33D5EF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96C21C">
            <w:pPr>
              <w:pStyle w:val="27"/>
              <w:jc w:val="left"/>
            </w:pPr>
            <w:r>
              <w:t>访客系统</w:t>
            </w:r>
          </w:p>
        </w:tc>
        <w:tc>
          <w:p w14:paraId="703410E1">
            <w:pPr>
              <w:pStyle w:val="27"/>
              <w:jc w:val="left"/>
            </w:pPr>
            <w:r>
              <w:t>2024.3</w:t>
            </w:r>
          </w:p>
        </w:tc>
        <w:tc>
          <w:p w14:paraId="7C39A71C">
            <w:pPr>
              <w:pStyle w:val="27"/>
              <w:jc w:val="left"/>
            </w:pPr>
            <w:r>
              <w:t>临时通行权限安全管控、动态防伪凭证、OCR证件识别与核验</w:t>
            </w:r>
          </w:p>
        </w:tc>
        <w:tc>
          <w:p w14:paraId="27590FB3">
            <w:pPr>
              <w:pStyle w:val="27"/>
              <w:jc w:val="left"/>
            </w:pPr>
            <w:r>
              <w:t>临时权限安全技术</w:t>
            </w:r>
          </w:p>
        </w:tc>
      </w:tr>
      <w:tr w14:paraId="40B7A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FDFB10">
            <w:pPr>
              <w:pStyle w:val="27"/>
              <w:jc w:val="left"/>
            </w:pPr>
            <w:r>
              <w:t>空间预约</w:t>
            </w:r>
          </w:p>
        </w:tc>
        <w:tc>
          <w:p w14:paraId="1616D33A">
            <w:pPr>
              <w:pStyle w:val="27"/>
              <w:jc w:val="left"/>
            </w:pPr>
            <w:r>
              <w:t>2024.5</w:t>
            </w:r>
          </w:p>
        </w:tc>
        <w:tc>
          <w:p w14:paraId="292A582E">
            <w:pPr>
              <w:pStyle w:val="27"/>
              <w:jc w:val="left"/>
            </w:pPr>
            <w:r>
              <w:t>空间数字化建模与可视化编辑、多约束冲突检测、传感器联动状态感知</w:t>
            </w:r>
          </w:p>
        </w:tc>
        <w:tc>
          <w:p w14:paraId="55AEC43F">
            <w:pPr>
              <w:pStyle w:val="27"/>
              <w:jc w:val="left"/>
            </w:pPr>
            <w:r>
              <w:t>空间资源调度技术</w:t>
            </w:r>
          </w:p>
        </w:tc>
      </w:tr>
      <w:tr w14:paraId="16982E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AB8DD">
            <w:pPr>
              <w:pStyle w:val="27"/>
              <w:jc w:val="left"/>
            </w:pPr>
            <w:r>
              <w:t>会议室系统</w:t>
            </w:r>
          </w:p>
        </w:tc>
        <w:tc>
          <w:p w14:paraId="029ED76A">
            <w:pPr>
              <w:pStyle w:val="27"/>
              <w:jc w:val="left"/>
            </w:pPr>
            <w:r>
              <w:t>2025.1</w:t>
            </w:r>
          </w:p>
        </w:tc>
        <w:tc>
          <w:p w14:paraId="3B2D8880">
            <w:pPr>
              <w:pStyle w:val="27"/>
              <w:jc w:val="left"/>
            </w:pPr>
            <w:r>
              <w:t>BACnet/Modbus/DALI/KNX多协议设备联动控制、音视频中控集成、场景规则引擎</w:t>
            </w:r>
          </w:p>
        </w:tc>
        <w:tc>
          <w:p w14:paraId="39941E82">
            <w:pPr>
              <w:pStyle w:val="27"/>
              <w:jc w:val="left"/>
            </w:pPr>
            <w:r>
              <w:t>楼宇设备控制技术</w:t>
            </w:r>
          </w:p>
        </w:tc>
      </w:tr>
      <w:tr w14:paraId="2C637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FCBCC">
            <w:pPr>
              <w:pStyle w:val="27"/>
              <w:jc w:val="left"/>
            </w:pPr>
            <w:r>
              <w:t>卫生间系统</w:t>
            </w:r>
          </w:p>
        </w:tc>
        <w:tc>
          <w:p w14:paraId="44591CD6">
            <w:pPr>
              <w:pStyle w:val="27"/>
              <w:jc w:val="left"/>
            </w:pPr>
            <w:r>
              <w:t>2025.2</w:t>
            </w:r>
          </w:p>
        </w:tc>
        <w:tc>
          <w:p w14:paraId="7A44A327">
            <w:pPr>
              <w:pStyle w:val="27"/>
              <w:jc w:val="left"/>
            </w:pPr>
            <w:r>
              <w:t>多源异构传感器统一接入、多源数据融合规则引擎、边缘端轻量化实时处理</w:t>
            </w:r>
          </w:p>
        </w:tc>
        <w:tc>
          <w:p w14:paraId="29413DEA">
            <w:pPr>
              <w:pStyle w:val="27"/>
              <w:jc w:val="left"/>
            </w:pPr>
            <w:r>
              <w:t>物联网感知技术</w:t>
            </w:r>
          </w:p>
        </w:tc>
      </w:tr>
      <w:tr w14:paraId="6A0488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23256">
            <w:pPr>
              <w:pStyle w:val="27"/>
              <w:jc w:val="left"/>
            </w:pPr>
            <w:r>
              <w:t>AIoT底层预研</w:t>
            </w:r>
          </w:p>
        </w:tc>
        <w:tc>
          <w:p w14:paraId="491EB9BC">
            <w:pPr>
              <w:pStyle w:val="27"/>
              <w:jc w:val="left"/>
            </w:pPr>
            <w:r>
              <w:t>2025.8</w:t>
            </w:r>
          </w:p>
        </w:tc>
        <w:tc>
          <w:p w14:paraId="4E190056">
            <w:pPr>
              <w:pStyle w:val="27"/>
              <w:jc w:val="left"/>
            </w:pPr>
            <w:r>
              <w:t>从上述5个系统中提炼共性技术需求，研究统一协议适配框架和数据交互规范</w:t>
            </w:r>
          </w:p>
        </w:tc>
        <w:tc>
          <w:p w14:paraId="6E8A027C">
            <w:pPr>
              <w:pStyle w:val="27"/>
              <w:jc w:val="left"/>
            </w:pPr>
            <w:r>
              <w:t>基础平台技术</w:t>
            </w:r>
          </w:p>
        </w:tc>
      </w:tr>
    </w:tbl>
    <w:p w14:paraId="04101640">
      <w:pPr>
        <w:pStyle w:val="5"/>
      </w:pPr>
      <w:bookmarkStart w:id="8" w:name="各项目的技术攻关是独立完成的"/>
      <w:bookmarkStart w:id="9" w:name="_Toc27864"/>
      <w:r>
        <w:t>2.2 各项目的技术攻关是独立完成的</w:t>
      </w:r>
      <w:bookmarkEnd w:id="8"/>
      <w:bookmarkEnd w:id="9"/>
    </w:p>
    <w:p w14:paraId="13E1B451">
      <w:pPr>
        <w:pStyle w:val="26"/>
      </w:pPr>
      <w:r>
        <w:rPr>
          <w:b/>
        </w:rPr>
        <w:t>阶段一的5个应用系统，各自独立完成了本场景的技术攻关工作。</w:t>
      </w:r>
      <w:r>
        <w:t xml:space="preserve"> 具体而言：</w:t>
      </w:r>
    </w:p>
    <w:p w14:paraId="6F5ED1F4">
      <w:pPr>
        <w:pStyle w:val="27"/>
        <w:numPr>
          <w:ilvl w:val="0"/>
          <w:numId w:val="1"/>
        </w:numPr>
      </w:pPr>
      <w:r>
        <w:rPr>
          <w:b/>
        </w:rPr>
        <w:t>通行系统</w:t>
      </w:r>
      <w:r>
        <w:t>独立开发了门禁设备的MQTT/HTTP适配逻辑、多模态核验调度方案、权限增量同步机制和梯控联动派梯方案；</w:t>
      </w:r>
    </w:p>
    <w:p w14:paraId="150E00CC">
      <w:pPr>
        <w:pStyle w:val="27"/>
        <w:numPr>
          <w:ilvl w:val="0"/>
          <w:numId w:val="1"/>
        </w:numPr>
      </w:pPr>
      <w:r>
        <w:rPr>
          <w:b/>
        </w:rPr>
        <w:t>访客系统</w:t>
      </w:r>
      <w:r>
        <w:t>独立开发了临时权限生命周期管控方案、动态二维码凭证机制、OCR证件核验集成、访客全流程状态监控与通行轨迹审计；</w:t>
      </w:r>
    </w:p>
    <w:p w14:paraId="31D1A8D0">
      <w:pPr>
        <w:pStyle w:val="27"/>
        <w:numPr>
          <w:ilvl w:val="0"/>
          <w:numId w:val="1"/>
        </w:numPr>
      </w:pPr>
      <w:r>
        <w:rPr>
          <w:b/>
        </w:rPr>
        <w:t>空间预约系统</w:t>
      </w:r>
      <w:r>
        <w:t>独立开发了空间数字化建模引擎、多约束冲突检测算法、传感器联动状态感知方案；</w:t>
      </w:r>
    </w:p>
    <w:p w14:paraId="7B12218F">
      <w:pPr>
        <w:pStyle w:val="27"/>
        <w:numPr>
          <w:ilvl w:val="0"/>
          <w:numId w:val="1"/>
        </w:numPr>
      </w:pPr>
      <w:r>
        <w:rPr>
          <w:b/>
        </w:rPr>
        <w:t>会议室系统</w:t>
      </w:r>
      <w:r>
        <w:t>独立开发了BACnet/DALI/KNX/Modbus四种协议的设备联动控制方案、音视频中控集成方案、场景规则引擎；</w:t>
      </w:r>
    </w:p>
    <w:p w14:paraId="0CD3F2BF">
      <w:pPr>
        <w:pStyle w:val="27"/>
        <w:numPr>
          <w:ilvl w:val="0"/>
          <w:numId w:val="1"/>
        </w:numPr>
      </w:pPr>
      <w:r>
        <w:rPr>
          <w:b/>
        </w:rPr>
        <w:t>卫生间系统</w:t>
      </w:r>
      <w:r>
        <w:t>独立开发了多源异构传感器接入方案、多源数据融合规则引擎、边缘端轻量化处理方案。</w:t>
      </w:r>
    </w:p>
    <w:p w14:paraId="1B2DB519">
      <w:pPr>
        <w:pStyle w:val="26"/>
      </w:pPr>
      <w:r>
        <w:t>各系统的设备对接、协议适配、数据交互是在各自项目范围内独立实现的，不存在“使用其他项目已有技术框架”的情况——因为在2025年8月之前，尚无统一的AIoT技术框架。</w:t>
      </w:r>
    </w:p>
    <w:p w14:paraId="0313AF2D">
      <w:pPr>
        <w:pStyle w:val="5"/>
      </w:pPr>
      <w:bookmarkStart w:id="10" w:name="aiot预研的启动背景"/>
      <w:bookmarkStart w:id="11" w:name="_Toc12641"/>
      <w:r>
        <w:t>2.3 AIoT预研的启动背景</w:t>
      </w:r>
      <w:bookmarkEnd w:id="10"/>
      <w:bookmarkEnd w:id="11"/>
    </w:p>
    <w:p w14:paraId="3AA897EA">
      <w:pPr>
        <w:pStyle w:val="26"/>
      </w:pPr>
      <w:r>
        <w:t>在5个应用系统并行推进过程中，公司发现以下共性技术问题日益突出：</w:t>
      </w:r>
    </w:p>
    <w:p w14:paraId="6452EC5E">
      <w:pPr>
        <w:pStyle w:val="3"/>
      </w:pPr>
      <w:r>
        <w:t>（1）</w:t>
      </w:r>
      <w:r>
        <w:rPr>
          <w:b/>
        </w:rPr>
        <w:t>设备适配工作大量重复</w:t>
      </w:r>
      <w:r>
        <w:t>：通行系统做了门禁/梯控的MQTT/HTTP适配，会议室系统做了BACnet/DALI/KNX适配，卫生间系统做了Modbus/RS485适配——各系统各自实现，无法复用，新增设备需在每个系统中分别开发；</w:t>
      </w:r>
    </w:p>
    <w:p w14:paraId="0F49DCC7">
      <w:pPr>
        <w:pStyle w:val="3"/>
      </w:pPr>
      <w:r>
        <w:t>（2）</w:t>
      </w:r>
      <w:r>
        <w:rPr>
          <w:b/>
        </w:rPr>
        <w:t>跨系统数据无法互通</w:t>
      </w:r>
      <w:r>
        <w:t>：5个系统各自定义数据格式和接口，实现跨系统联动（如访客审批→门禁权限下发、会议预约→门禁联动）时需逐对做接口对接，开发效率低；</w:t>
      </w:r>
    </w:p>
    <w:p w14:paraId="64D9EE1E">
      <w:pPr>
        <w:pStyle w:val="3"/>
      </w:pPr>
      <w:r>
        <w:t>（3）</w:t>
      </w:r>
      <w:r>
        <w:rPr>
          <w:b/>
        </w:rPr>
        <w:t>新系统开发效率低</w:t>
      </w:r>
      <w:r>
        <w:t>：每开发一个新系统，设备接入、协议适配等基础工作都需要从零开始，无法基于已有的技术积累快速启动。</w:t>
      </w:r>
    </w:p>
    <w:p w14:paraId="00F6C09E">
      <w:pPr>
        <w:pStyle w:val="3"/>
      </w:pPr>
      <w:r>
        <w:t>为解决上述问题，公司于2025年8月启动AIoT底层技术预研，</w:t>
      </w:r>
      <w:r>
        <w:rPr>
          <w:b/>
        </w:rPr>
        <w:t>从5个系统的技术实践中提炼共性需求，研究设计统一的技术框架和标准规范</w:t>
      </w:r>
      <w:r>
        <w:t>，使后续产品迭代和新系统开发可以基于统一框架进行，避免重复开发。</w:t>
      </w:r>
    </w:p>
    <w:p w14:paraId="6F434438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D29FC56">
      <w:pPr>
        <w:pStyle w:val="4"/>
      </w:pPr>
      <w:bookmarkStart w:id="12" w:name="三共享技术栈说明"/>
      <w:bookmarkStart w:id="13" w:name="_Toc25790"/>
      <w:r>
        <w:t>三、共享技术栈说明</w:t>
      </w:r>
      <w:bookmarkEnd w:id="12"/>
      <w:bookmarkEnd w:id="13"/>
    </w:p>
    <w:p w14:paraId="5D92BD87">
      <w:pPr>
        <w:pStyle w:val="26"/>
      </w:pPr>
      <w:r>
        <w:t>5个应用系统采用统一技术栈，各组件均为成熟的开源技术，不属于研发内容：</w:t>
      </w:r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3"/>
        <w:gridCol w:w="2136"/>
        <w:gridCol w:w="1896"/>
      </w:tblGrid>
      <w:tr w14:paraId="30F5D7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F8EABC9">
            <w:pPr>
              <w:pStyle w:val="27"/>
              <w:jc w:val="left"/>
            </w:pPr>
            <w:r>
              <w:t>技术组件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D8AE523">
            <w:pPr>
              <w:pStyle w:val="27"/>
              <w:jc w:val="left"/>
            </w:pPr>
            <w:r>
              <w:t>用途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11E41A7">
            <w:pPr>
              <w:pStyle w:val="27"/>
              <w:jc w:val="left"/>
            </w:pPr>
            <w:r>
              <w:t>是否为研发内容</w:t>
            </w:r>
          </w:p>
        </w:tc>
      </w:tr>
      <w:tr w14:paraId="66019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CA7AED">
            <w:pPr>
              <w:pStyle w:val="27"/>
              <w:jc w:val="left"/>
            </w:pPr>
            <w:r>
              <w:t>Vue3</w:t>
            </w:r>
          </w:p>
        </w:tc>
        <w:tc>
          <w:p w14:paraId="2F793694">
            <w:pPr>
              <w:pStyle w:val="27"/>
              <w:jc w:val="left"/>
            </w:pPr>
            <w:r>
              <w:t>前端响应式框架</w:t>
            </w:r>
          </w:p>
        </w:tc>
        <w:tc>
          <w:p w14:paraId="66BC693D">
            <w:pPr>
              <w:pStyle w:val="27"/>
              <w:jc w:val="left"/>
            </w:pPr>
            <w:r>
              <w:t>否</w:t>
            </w:r>
          </w:p>
        </w:tc>
      </w:tr>
      <w:tr w14:paraId="778C23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CA1668">
            <w:pPr>
              <w:pStyle w:val="27"/>
              <w:jc w:val="left"/>
            </w:pPr>
            <w:r>
              <w:t>NestJS+TypeScript</w:t>
            </w:r>
          </w:p>
        </w:tc>
        <w:tc>
          <w:p w14:paraId="771A5695">
            <w:pPr>
              <w:pStyle w:val="27"/>
              <w:jc w:val="left"/>
            </w:pPr>
            <w:r>
              <w:t>后端框架</w:t>
            </w:r>
          </w:p>
        </w:tc>
        <w:tc>
          <w:p w14:paraId="676530D0">
            <w:pPr>
              <w:pStyle w:val="27"/>
              <w:jc w:val="left"/>
            </w:pPr>
            <w:r>
              <w:t>否</w:t>
            </w:r>
          </w:p>
        </w:tc>
      </w:tr>
      <w:tr w14:paraId="76688A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DF672">
            <w:pPr>
              <w:pStyle w:val="27"/>
              <w:jc w:val="left"/>
            </w:pPr>
            <w:r>
              <w:t>PostgreSQL</w:t>
            </w:r>
          </w:p>
        </w:tc>
        <w:tc>
          <w:p w14:paraId="61C6BB7B">
            <w:pPr>
              <w:pStyle w:val="27"/>
              <w:jc w:val="left"/>
            </w:pPr>
            <w:r>
              <w:t>关系型数据库</w:t>
            </w:r>
          </w:p>
        </w:tc>
        <w:tc>
          <w:p w14:paraId="5A20F958">
            <w:pPr>
              <w:pStyle w:val="27"/>
              <w:jc w:val="left"/>
            </w:pPr>
            <w:r>
              <w:t>否</w:t>
            </w:r>
          </w:p>
        </w:tc>
      </w:tr>
      <w:tr w14:paraId="0E59D5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BE103">
            <w:pPr>
              <w:pStyle w:val="27"/>
              <w:jc w:val="left"/>
            </w:pPr>
            <w:r>
              <w:t>Redis</w:t>
            </w:r>
          </w:p>
        </w:tc>
        <w:tc>
          <w:p w14:paraId="0E4740D7">
            <w:pPr>
              <w:pStyle w:val="27"/>
              <w:jc w:val="left"/>
            </w:pPr>
            <w:r>
              <w:t>内存缓存</w:t>
            </w:r>
          </w:p>
        </w:tc>
        <w:tc>
          <w:p w14:paraId="7D83A37C">
            <w:pPr>
              <w:pStyle w:val="27"/>
              <w:jc w:val="left"/>
            </w:pPr>
            <w:r>
              <w:t>否</w:t>
            </w:r>
          </w:p>
        </w:tc>
      </w:tr>
      <w:tr w14:paraId="7237A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020E2F">
            <w:pPr>
              <w:pStyle w:val="27"/>
              <w:jc w:val="left"/>
            </w:pPr>
            <w:r>
              <w:t>MQTT Broker(EMQX)</w:t>
            </w:r>
          </w:p>
        </w:tc>
        <w:tc>
          <w:p w14:paraId="37F94794">
            <w:pPr>
              <w:pStyle w:val="27"/>
              <w:jc w:val="left"/>
            </w:pPr>
            <w:r>
              <w:t>物联网消息中间件</w:t>
            </w:r>
          </w:p>
        </w:tc>
        <w:tc>
          <w:p w14:paraId="095FCEDE">
            <w:pPr>
              <w:pStyle w:val="27"/>
              <w:jc w:val="left"/>
            </w:pPr>
            <w:r>
              <w:t>否</w:t>
            </w:r>
          </w:p>
        </w:tc>
      </w:tr>
      <w:tr w14:paraId="0D7A1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466B28">
            <w:pPr>
              <w:pStyle w:val="27"/>
              <w:jc w:val="left"/>
            </w:pPr>
            <w:r>
              <w:t>Docker</w:t>
            </w:r>
          </w:p>
        </w:tc>
        <w:tc>
          <w:p w14:paraId="31D40431">
            <w:pPr>
              <w:pStyle w:val="27"/>
              <w:jc w:val="left"/>
            </w:pPr>
            <w:r>
              <w:t>容器化部署</w:t>
            </w:r>
          </w:p>
        </w:tc>
        <w:tc>
          <w:p w14:paraId="0C845336">
            <w:pPr>
              <w:pStyle w:val="27"/>
              <w:jc w:val="left"/>
            </w:pPr>
            <w:r>
              <w:t>否</w:t>
            </w:r>
          </w:p>
        </w:tc>
      </w:tr>
    </w:tbl>
    <w:p w14:paraId="039B9A9B">
      <w:pPr>
        <w:pStyle w:val="3"/>
      </w:pPr>
      <w:r>
        <w:t>各项目的研发内容是在此技术栈基础上，针对各自场景技术攻关点的方案设计、算法实现和系统集成。</w:t>
      </w:r>
      <w:r>
        <w:rPr>
          <w:b/>
        </w:rPr>
        <w:t>统一技术栈是现代软件工程的常见做法，不构成对项目独立性的否定。</w:t>
      </w:r>
    </w:p>
    <w:p w14:paraId="00180E4A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EE073AC">
      <w:pPr>
        <w:pStyle w:val="4"/>
      </w:pPr>
      <w:bookmarkStart w:id="14" w:name="四5个应用系统之间的业务联动"/>
      <w:bookmarkStart w:id="15" w:name="_Toc27566"/>
      <w:r>
        <w:t>四、5个应用系统之间的业务联动</w:t>
      </w:r>
      <w:bookmarkEnd w:id="14"/>
      <w:bookmarkEnd w:id="15"/>
    </w:p>
    <w:p w14:paraId="3A756345">
      <w:pPr>
        <w:pStyle w:val="26"/>
      </w:pPr>
      <w:r>
        <w:t>5个系统同属Buildingos.ai平台，部分业务场景需要跨系统联动：</w:t>
      </w:r>
      <w:bookmarkStart w:id="26" w:name="_GoBack"/>
      <w:bookmarkEnd w:id="26"/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7"/>
        <w:gridCol w:w="2101"/>
        <w:gridCol w:w="4468"/>
      </w:tblGrid>
      <w:tr w14:paraId="3FF08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5CF60A8">
            <w:pPr>
              <w:pStyle w:val="27"/>
              <w:jc w:val="left"/>
            </w:pPr>
            <w:r>
              <w:t>联动场景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2EB02E3">
            <w:pPr>
              <w:pStyle w:val="27"/>
              <w:jc w:val="left"/>
            </w:pPr>
            <w:r>
              <w:t>涉及系统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85FDC23">
            <w:pPr>
              <w:pStyle w:val="27"/>
              <w:jc w:val="left"/>
            </w:pPr>
            <w:r>
              <w:t>实现方式</w:t>
            </w:r>
          </w:p>
        </w:tc>
      </w:tr>
      <w:tr w14:paraId="4CCD0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EA6E12">
            <w:pPr>
              <w:pStyle w:val="27"/>
              <w:jc w:val="left"/>
            </w:pPr>
            <w:r>
              <w:t>访客审批→门禁权限下发</w:t>
            </w:r>
          </w:p>
        </w:tc>
        <w:tc>
          <w:p w14:paraId="6E5F8460">
            <w:pPr>
              <w:pStyle w:val="27"/>
              <w:jc w:val="left"/>
            </w:pPr>
            <w:r>
              <w:t>访客系统→通行系统</w:t>
            </w:r>
          </w:p>
        </w:tc>
        <w:tc>
          <w:p w14:paraId="194760E6">
            <w:pPr>
              <w:pStyle w:val="27"/>
              <w:jc w:val="left"/>
            </w:pPr>
            <w:r>
              <w:t>访客系统通过API调用通行系统的权限下发接口</w:t>
            </w:r>
          </w:p>
        </w:tc>
      </w:tr>
      <w:tr w14:paraId="552FC7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16E704">
            <w:pPr>
              <w:pStyle w:val="27"/>
              <w:jc w:val="left"/>
            </w:pPr>
            <w:r>
              <w:t>会议预约→门禁权限联动</w:t>
            </w:r>
          </w:p>
        </w:tc>
        <w:tc>
          <w:p w14:paraId="1E856235">
            <w:pPr>
              <w:pStyle w:val="27"/>
              <w:jc w:val="left"/>
            </w:pPr>
            <w:r>
              <w:t>会议室系统→通行系统</w:t>
            </w:r>
          </w:p>
        </w:tc>
        <w:tc>
          <w:p w14:paraId="24E9E7A1">
            <w:pPr>
              <w:pStyle w:val="27"/>
              <w:jc w:val="left"/>
            </w:pPr>
            <w:r>
              <w:t>会议室系统通过API调用通行系统的权限联动接口</w:t>
            </w:r>
          </w:p>
        </w:tc>
      </w:tr>
      <w:tr w14:paraId="046F9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14A56C">
            <w:pPr>
              <w:pStyle w:val="27"/>
              <w:jc w:val="left"/>
            </w:pPr>
            <w:r>
              <w:t>工位预约→智能插座通电</w:t>
            </w:r>
          </w:p>
        </w:tc>
        <w:tc>
          <w:p w14:paraId="2D9BDCC8">
            <w:pPr>
              <w:pStyle w:val="27"/>
              <w:jc w:val="left"/>
            </w:pPr>
            <w:r>
              <w:t>空间预约系统→设备</w:t>
            </w:r>
          </w:p>
        </w:tc>
        <w:tc>
          <w:p w14:paraId="1752DBDD">
            <w:pPr>
              <w:pStyle w:val="27"/>
              <w:jc w:val="left"/>
            </w:pPr>
            <w:r>
              <w:t>通过MQTT指令控制智能插座</w:t>
            </w:r>
          </w:p>
        </w:tc>
      </w:tr>
      <w:tr w14:paraId="422748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92FB5E">
            <w:pPr>
              <w:pStyle w:val="27"/>
              <w:jc w:val="left"/>
            </w:pPr>
            <w:r>
              <w:t>卫生间异常→运维工单</w:t>
            </w:r>
          </w:p>
        </w:tc>
        <w:tc>
          <w:p w14:paraId="24616EE5">
            <w:pPr>
              <w:pStyle w:val="27"/>
              <w:jc w:val="left"/>
            </w:pPr>
            <w:r>
              <w:t>卫生间系统→工单模块</w:t>
            </w:r>
          </w:p>
        </w:tc>
        <w:tc>
          <w:p w14:paraId="160EB6E7">
            <w:pPr>
              <w:pStyle w:val="27"/>
              <w:jc w:val="left"/>
            </w:pPr>
            <w:r>
              <w:t>规则引擎触发工单派发</w:t>
            </w:r>
          </w:p>
        </w:tc>
      </w:tr>
    </w:tbl>
    <w:p w14:paraId="6E7A2329">
      <w:pPr>
        <w:pStyle w:val="3"/>
      </w:pPr>
      <w:r>
        <w:rPr>
          <w:b/>
        </w:rPr>
        <w:t>在AIoT预研之前，跨系统联动通过各系统间的API调用实现，存在接口标准不统一、对接效率低的问题。AIoT预研的目标之一就是建立统一的跨系统数据交互规范，替代当前的逐对API对接方式。</w:t>
      </w:r>
    </w:p>
    <w:p w14:paraId="353355F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DF4A19">
      <w:pPr>
        <w:pStyle w:val="4"/>
      </w:pPr>
      <w:bookmarkStart w:id="16" w:name="五5个应用系统与aiot预研的技术关系"/>
      <w:bookmarkStart w:id="17" w:name="_Toc18424"/>
      <w:r>
        <w:t>五、5个应用系统与AIoT预研的技术关系</w:t>
      </w:r>
      <w:bookmarkEnd w:id="16"/>
      <w:bookmarkEnd w:id="17"/>
    </w:p>
    <w:p w14:paraId="4F79B4E2">
      <w:pPr>
        <w:pStyle w:val="5"/>
      </w:pPr>
      <w:bookmarkStart w:id="18" w:name="关系定位"/>
      <w:bookmarkStart w:id="19" w:name="_Toc9019"/>
      <w:r>
        <w:t>5.1 关系定位</w:t>
      </w:r>
      <w:bookmarkEnd w:id="18"/>
      <w:bookmarkEnd w:id="19"/>
    </w:p>
    <w:p w14:paraId="3ADC9D16">
      <w:pPr>
        <w:pStyle w:val="26"/>
      </w:pPr>
      <w:r>
        <w:t>AIoT预研与5个应用系统的关系，不是“底座支撑应用”，而是“</w:t>
      </w:r>
      <w:r>
        <w:rPr>
          <w:b/>
        </w:rPr>
        <w:t>从应用实践中提炼共性，形成统一框架</w:t>
      </w:r>
      <w:r>
        <w:t>”——</w:t>
      </w:r>
    </w:p>
    <w:tbl>
      <w:tblPr>
        <w:tblStyle w:val="31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3750"/>
        <w:gridCol w:w="3917"/>
      </w:tblGrid>
      <w:tr w14:paraId="50C7C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4F1AABEA">
            <w:pPr>
              <w:pStyle w:val="27"/>
              <w:jc w:val="left"/>
            </w:pPr>
            <w:r>
              <w:t>维度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FCC2BBD">
            <w:pPr>
              <w:pStyle w:val="27"/>
              <w:jc w:val="left"/>
            </w:pPr>
            <w:r>
              <w:t>阶段一（5个应用系统）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49DDBC5">
            <w:pPr>
              <w:pStyle w:val="27"/>
              <w:jc w:val="left"/>
            </w:pPr>
            <w:r>
              <w:t>阶段二（AIoT预研）</w:t>
            </w:r>
          </w:p>
        </w:tc>
      </w:tr>
      <w:tr w14:paraId="7EFC93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957333">
            <w:pPr>
              <w:pStyle w:val="27"/>
              <w:jc w:val="left"/>
            </w:pPr>
            <w:r>
              <w:t>性质</w:t>
            </w:r>
          </w:p>
        </w:tc>
        <w:tc>
          <w:p w14:paraId="1FF6D6CB">
            <w:pPr>
              <w:pStyle w:val="27"/>
              <w:jc w:val="left"/>
            </w:pPr>
            <w:r>
              <w:t>场景化技术攻关，各自独立解决本场景的技术问题</w:t>
            </w:r>
          </w:p>
        </w:tc>
        <w:tc>
          <w:p w14:paraId="02FC7D4A">
            <w:pPr>
              <w:pStyle w:val="27"/>
              <w:jc w:val="left"/>
            </w:pPr>
            <w:r>
              <w:t>共性技术提炼，从5个系统中抽象统一框架和标准</w:t>
            </w:r>
          </w:p>
        </w:tc>
      </w:tr>
      <w:tr w14:paraId="7F713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0BFAB">
            <w:pPr>
              <w:pStyle w:val="27"/>
              <w:jc w:val="left"/>
            </w:pPr>
            <w:r>
              <w:t>技术成果</w:t>
            </w:r>
          </w:p>
        </w:tc>
        <w:tc>
          <w:p w14:paraId="3B2C4163">
            <w:pPr>
              <w:pStyle w:val="27"/>
              <w:jc w:val="left"/>
            </w:pPr>
            <w:r>
              <w:t>各系统独立的设备对接方案、数据格式、接入逻辑</w:t>
            </w:r>
          </w:p>
        </w:tc>
        <w:tc>
          <w:p w14:paraId="5FC2EF27">
            <w:pPr>
              <w:pStyle w:val="27"/>
              <w:jc w:val="left"/>
            </w:pPr>
            <w:r>
              <w:t>统一的协议适配框架、数据交互规范、设备接入标准</w:t>
            </w:r>
          </w:p>
        </w:tc>
      </w:tr>
      <w:tr w14:paraId="1B01A5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B15150">
            <w:pPr>
              <w:pStyle w:val="27"/>
              <w:jc w:val="left"/>
            </w:pPr>
            <w:r>
              <w:t>时间关系</w:t>
            </w:r>
          </w:p>
        </w:tc>
        <w:tc>
          <w:p w14:paraId="04A3056B">
            <w:pPr>
              <w:pStyle w:val="27"/>
              <w:jc w:val="left"/>
            </w:pPr>
            <w:r>
              <w:t>2024.1-2025.7先行完成</w:t>
            </w:r>
          </w:p>
        </w:tc>
        <w:tc>
          <w:p w14:paraId="52ED9312">
            <w:pPr>
              <w:pStyle w:val="27"/>
              <w:jc w:val="left"/>
            </w:pPr>
            <w:r>
              <w:t>2025.8-2025.12后续启动</w:t>
            </w:r>
          </w:p>
        </w:tc>
      </w:tr>
      <w:tr w14:paraId="2BBEE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08335">
            <w:pPr>
              <w:pStyle w:val="27"/>
              <w:jc w:val="left"/>
            </w:pPr>
            <w:r>
              <w:t>对后续的价值</w:t>
            </w:r>
          </w:p>
        </w:tc>
        <w:tc>
          <w:p w14:paraId="567A5477">
            <w:pPr>
              <w:pStyle w:val="27"/>
              <w:jc w:val="left"/>
            </w:pPr>
            <w:r>
              <w:t>各系统作为产品独立运行</w:t>
            </w:r>
          </w:p>
        </w:tc>
        <w:tc>
          <w:p w14:paraId="7381CC94">
            <w:pPr>
              <w:pStyle w:val="27"/>
              <w:jc w:val="left"/>
            </w:pPr>
            <w:r>
              <w:t>为后续产品迭代和新系统开发提供统一技术基础</w:t>
            </w:r>
          </w:p>
        </w:tc>
      </w:tr>
    </w:tbl>
    <w:p w14:paraId="58E3D1CB">
      <w:pPr>
        <w:pStyle w:val="5"/>
      </w:pPr>
      <w:bookmarkStart w:id="20" w:name="aiot预研的技术来源"/>
      <w:bookmarkStart w:id="21" w:name="_Toc14014"/>
      <w:r>
        <w:t>5.2 AIoT预研的技术来源</w:t>
      </w:r>
      <w:bookmarkEnd w:id="20"/>
      <w:bookmarkEnd w:id="21"/>
    </w:p>
    <w:p w14:paraId="452F0DAB">
      <w:pPr>
        <w:pStyle w:val="26"/>
      </w:pPr>
      <w:r>
        <w:t>AIoT预研的技术框架设计，来源于5个应用系统的实际技术经验：</w:t>
      </w:r>
    </w:p>
    <w:tbl>
      <w:tblPr>
        <w:tblStyle w:val="31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1"/>
        <w:gridCol w:w="6465"/>
      </w:tblGrid>
      <w:tr w14:paraId="0FB9F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0373E1E">
            <w:pPr>
              <w:pStyle w:val="27"/>
              <w:jc w:val="left"/>
            </w:pPr>
            <w:r>
              <w:t>AIoT预研的技术成果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891BE02">
            <w:pPr>
              <w:pStyle w:val="27"/>
              <w:jc w:val="left"/>
            </w:pPr>
            <w:r>
              <w:t>经验来源</w:t>
            </w:r>
          </w:p>
        </w:tc>
      </w:tr>
      <w:tr w14:paraId="01428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3FF6CF">
            <w:pPr>
              <w:pStyle w:val="27"/>
              <w:jc w:val="left"/>
            </w:pPr>
            <w:r>
              <w:t>多协议适配框架（统一驱动插件机制）</w:t>
            </w:r>
          </w:p>
        </w:tc>
        <w:tc>
          <w:p w14:paraId="68307335">
            <w:pPr>
              <w:pStyle w:val="27"/>
              <w:jc w:val="left"/>
            </w:pPr>
            <w:r>
              <w:t>通行系统的MQTT/HTTP适配经验、会议室系统的BACnet/DALI/KNX适配经验、卫生间系统的Modbus/RS485/LoRa适配经验</w:t>
            </w:r>
          </w:p>
        </w:tc>
      </w:tr>
      <w:tr w14:paraId="4C3B83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BB843D">
            <w:pPr>
              <w:pStyle w:val="27"/>
              <w:jc w:val="left"/>
            </w:pPr>
            <w:r>
              <w:t>数据交互规范（核心字段统一+扩展字段自定义）</w:t>
            </w:r>
          </w:p>
        </w:tc>
        <w:tc>
          <w:p w14:paraId="1C7A2942">
            <w:pPr>
              <w:pStyle w:val="27"/>
              <w:jc w:val="left"/>
            </w:pPr>
            <w:r>
              <w:t>5个系统间API对接的经验教训</w:t>
            </w:r>
          </w:p>
        </w:tc>
      </w:tr>
      <w:tr w14:paraId="24F572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D49AC9">
            <w:pPr>
              <w:pStyle w:val="27"/>
              <w:jc w:val="left"/>
            </w:pPr>
            <w:r>
              <w:t>设备统一接入标准</w:t>
            </w:r>
          </w:p>
        </w:tc>
        <w:tc>
          <w:p w14:paraId="39A8FFA7">
            <w:pPr>
              <w:pStyle w:val="27"/>
              <w:jc w:val="left"/>
            </w:pPr>
            <w:r>
              <w:t>各系统独立开发设备接入逻辑的重复经验</w:t>
            </w:r>
          </w:p>
        </w:tc>
      </w:tr>
      <w:tr w14:paraId="61D53A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EDAF60">
            <w:pPr>
              <w:pStyle w:val="27"/>
              <w:jc w:val="left"/>
            </w:pPr>
            <w:r>
              <w:t>分层解耦架构设计</w:t>
            </w:r>
          </w:p>
        </w:tc>
        <w:tc>
          <w:p w14:paraId="7745918E">
            <w:pPr>
              <w:pStyle w:val="27"/>
              <w:jc w:val="left"/>
            </w:pPr>
            <w:r>
              <w:t>5个系统在部署和扩展中遇到的架构瓶颈</w:t>
            </w:r>
          </w:p>
        </w:tc>
      </w:tr>
    </w:tbl>
    <w:p w14:paraId="532BB93D">
      <w:pPr>
        <w:pStyle w:val="5"/>
      </w:pPr>
      <w:bookmarkStart w:id="22" w:name="aiot预研的创新性"/>
      <w:bookmarkStart w:id="23" w:name="_Toc27459"/>
      <w:r>
        <w:t>5.3 AIoT预研的创新性</w:t>
      </w:r>
      <w:bookmarkEnd w:id="22"/>
      <w:bookmarkEnd w:id="23"/>
    </w:p>
    <w:p w14:paraId="6E0D4A35">
      <w:pPr>
        <w:pStyle w:val="26"/>
      </w:pPr>
      <w:r>
        <w:t>AIoT预研的创新性不在于“发明全新的底层技术”，而在于</w:t>
      </w:r>
      <w:r>
        <w:rPr>
          <w:b/>
        </w:rPr>
        <w:t>从多个场景实践中提炼共性，设计出通用化的技术框架</w:t>
      </w:r>
      <w:r>
        <w:t>——</w:t>
      </w:r>
    </w:p>
    <w:p w14:paraId="7F3A7D7D">
      <w:pPr>
        <w:pStyle w:val="3"/>
      </w:pPr>
      <w:r>
        <w:t>（1）将5个系统中分别实现的、针对特定设备的协议适配逻辑，抽象为通用化的协议驱动插件机制，使新增设备适配无需修改上层代码；</w:t>
      </w:r>
    </w:p>
    <w:p w14:paraId="37F46566">
      <w:pPr>
        <w:pStyle w:val="3"/>
      </w:pPr>
      <w:r>
        <w:t>（2）将5个系统间逐对API对接的经验，归纳为统一的数据交互规范，使跨系统联动从“逐对定制”变为“标准互通”；</w:t>
      </w:r>
    </w:p>
    <w:p w14:paraId="4FE7A58A">
      <w:pPr>
        <w:pStyle w:val="3"/>
      </w:pPr>
      <w:r>
        <w:t>（3）将各系统各自为战的设备接入方式，统一为标准化的设备注册、认证、数据上报流程。</w:t>
      </w:r>
    </w:p>
    <w:p w14:paraId="31229E23">
      <w:pPr>
        <w:pStyle w:val="3"/>
      </w:pPr>
      <w:r>
        <w:rPr>
          <w:b/>
        </w:rPr>
        <w:t>这一“从分散到统一”的抽象过程，本身是一个需要反复验证和迭代的技术研究活动，而非简单的文档整理。</w:t>
      </w:r>
      <w:r>
        <w:t xml:space="preserve"> 框架设计需要在通用性和场景适配性之间反复权衡，需要通过多品类设备的接入测试验证框架的可扩展性，需要处理5个系统各自特殊需求与统一框架之间的兼容问题。</w:t>
      </w:r>
    </w:p>
    <w:p w14:paraId="5ED93F0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47866AF">
      <w:pPr>
        <w:pStyle w:val="4"/>
      </w:pPr>
      <w:bookmarkStart w:id="24" w:name="六总结"/>
      <w:bookmarkStart w:id="25" w:name="_Toc9144"/>
      <w:r>
        <w:t>六、总结</w:t>
      </w:r>
      <w:bookmarkEnd w:id="24"/>
      <w:bookmarkEnd w:id="25"/>
    </w:p>
    <w:p w14:paraId="6B272AE0">
      <w:pPr>
        <w:pStyle w:val="26"/>
      </w:pPr>
      <w:r>
        <w:t>6个研发项目构成了“场景攻关先行→共性提炼后建”的完整技术演进路径：</w:t>
      </w:r>
    </w:p>
    <w:p w14:paraId="33EAD50D">
      <w:pPr>
        <w:pStyle w:val="27"/>
        <w:numPr>
          <w:ilvl w:val="0"/>
          <w:numId w:val="1"/>
        </w:numPr>
      </w:pPr>
      <w:r>
        <w:rPr>
          <w:b/>
        </w:rPr>
        <w:t>5个应用系统</w:t>
      </w:r>
      <w:r>
        <w:t>（2024.1-2025.7）：各自独立完成场景化技术攻关，是Buildingos.ai产品的核心功能模块，每个系统均有独立的技术攻关点和技术不确定性；</w:t>
      </w:r>
    </w:p>
    <w:p w14:paraId="5C616606">
      <w:pPr>
        <w:pStyle w:val="27"/>
        <w:numPr>
          <w:ilvl w:val="0"/>
          <w:numId w:val="1"/>
        </w:numPr>
      </w:pPr>
      <w:r>
        <w:rPr>
          <w:b/>
        </w:rPr>
        <w:t>AIoT底层预研</w:t>
      </w:r>
      <w:r>
        <w:t>（2025.8-2025.12）：从5个系统的技术实践中提炼共性，研究设计统一技术框架和标准规范，是技术体系化建设的关键一步。</w:t>
      </w:r>
    </w:p>
    <w:p w14:paraId="550B2514">
      <w:pPr>
        <w:pStyle w:val="26"/>
      </w:pPr>
      <w:r>
        <w:t>6个项目分立立项具有技术和管理层面的合理性，不存在“拆分项目”或“重复申报”的情况。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454B4C"/>
    <w:multiLevelType w:val="multilevel"/>
    <w:tmpl w:val="EA454B4C"/>
    <w:lvl w:ilvl="0" w:tentative="0">
      <w:start w:val="0"/>
      <w:numFmt w:val="bullet"/>
      <w:lvlText w:val="•"/>
      <w:lvlJc w:val="left"/>
      <w:pPr>
        <w:tabs>
          <w:tab w:val="left" w:pos="0"/>
        </w:tabs>
        <w:ind w:left="480" w:hanging="480"/>
      </w:pPr>
    </w:lvl>
    <w:lvl w:ilvl="1" w:tentative="0">
      <w:start w:val="0"/>
      <w:numFmt w:val="bullet"/>
      <w:lvlText w:val="–"/>
      <w:lvlJc w:val="left"/>
      <w:pPr>
        <w:tabs>
          <w:tab w:val="left" w:pos="720"/>
        </w:tabs>
        <w:ind w:left="1200" w:hanging="480"/>
      </w:pPr>
    </w:lvl>
    <w:lvl w:ilvl="2" w:tentative="0">
      <w:start w:val="0"/>
      <w:numFmt w:val="bullet"/>
      <w:lvlText w:val="•"/>
      <w:lvlJc w:val="left"/>
      <w:pPr>
        <w:tabs>
          <w:tab w:val="left" w:pos="1440"/>
        </w:tabs>
        <w:ind w:left="1920" w:hanging="480"/>
      </w:pPr>
    </w:lvl>
    <w:lvl w:ilvl="3" w:tentative="0">
      <w:start w:val="0"/>
      <w:numFmt w:val="bullet"/>
      <w:lvlText w:val="–"/>
      <w:lvlJc w:val="left"/>
      <w:pPr>
        <w:tabs>
          <w:tab w:val="left" w:pos="2160"/>
        </w:tabs>
        <w:ind w:left="2640" w:hanging="480"/>
      </w:pPr>
    </w:lvl>
    <w:lvl w:ilvl="4" w:tentative="0">
      <w:start w:val="0"/>
      <w:numFmt w:val="bullet"/>
      <w:lvlText w:val="•"/>
      <w:lvlJc w:val="left"/>
      <w:pPr>
        <w:tabs>
          <w:tab w:val="left" w:pos="2880"/>
        </w:tabs>
        <w:ind w:left="3360" w:hanging="480"/>
      </w:pPr>
    </w:lvl>
    <w:lvl w:ilvl="5" w:tentative="0">
      <w:start w:val="0"/>
      <w:numFmt w:val="bullet"/>
      <w:lvlText w:val="–"/>
      <w:lvlJc w:val="left"/>
      <w:pPr>
        <w:tabs>
          <w:tab w:val="left" w:pos="3600"/>
        </w:tabs>
        <w:ind w:left="4080" w:hanging="480"/>
      </w:pPr>
    </w:lvl>
    <w:lvl w:ilvl="6" w:tentative="0">
      <w:start w:val="0"/>
      <w:numFmt w:val="bullet"/>
      <w:lvlText w:val="•"/>
      <w:lvlJc w:val="left"/>
      <w:pPr>
        <w:tabs>
          <w:tab w:val="left" w:pos="4320"/>
        </w:tabs>
        <w:ind w:left="4800" w:hanging="480"/>
      </w:pPr>
    </w:lvl>
    <w:lvl w:ilvl="7" w:tentative="0">
      <w:start w:val="0"/>
      <w:numFmt w:val="bullet"/>
      <w:lvlText w:val="–"/>
      <w:lvlJc w:val="left"/>
      <w:pPr>
        <w:tabs>
          <w:tab w:val="left" w:pos="5040"/>
        </w:tabs>
        <w:ind w:left="5520" w:hanging="480"/>
      </w:pPr>
    </w:lvl>
    <w:lvl w:ilvl="8" w:tentative="0">
      <w:start w:val="0"/>
      <w:numFmt w:val="bullet"/>
      <w:lvlText w:val="•"/>
      <w:lvlJc w:val="left"/>
      <w:pPr>
        <w:tabs>
          <w:tab w:val="left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5A0D05C8"/>
    <w:rsid w:val="7E89431B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toc 1"/>
    <w:basedOn w:val="1"/>
    <w:next w:val="1"/>
    <w:qFormat/>
    <w:uiPriority w:val="0"/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character" w:styleId="23">
    <w:name w:val="Hyperlink"/>
    <w:basedOn w:val="24"/>
    <w:qFormat/>
    <w:uiPriority w:val="0"/>
    <w:rPr>
      <w:color w:val="4F81BD" w:themeColor="accent1"/>
    </w:rPr>
  </w:style>
  <w:style w:type="character" w:customStyle="1" w:styleId="24">
    <w:name w:val="Body Text Char"/>
    <w:basedOn w:val="22"/>
    <w:link w:val="3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4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8"/>
    <w:qFormat/>
    <w:uiPriority w:val="0"/>
    <w:rPr>
      <w:b/>
      <w:color w:val="007020"/>
    </w:rPr>
  </w:style>
  <w:style w:type="character" w:customStyle="1" w:styleId="42">
    <w:name w:val="DataTypeTok"/>
    <w:basedOn w:val="38"/>
    <w:qFormat/>
    <w:uiPriority w:val="0"/>
    <w:rPr>
      <w:color w:val="902000"/>
    </w:rPr>
  </w:style>
  <w:style w:type="character" w:customStyle="1" w:styleId="43">
    <w:name w:val="DecValTok"/>
    <w:basedOn w:val="38"/>
    <w:qFormat/>
    <w:uiPriority w:val="0"/>
    <w:rPr>
      <w:color w:val="40A070"/>
    </w:rPr>
  </w:style>
  <w:style w:type="character" w:customStyle="1" w:styleId="44">
    <w:name w:val="BaseNTok"/>
    <w:basedOn w:val="38"/>
    <w:qFormat/>
    <w:uiPriority w:val="0"/>
    <w:rPr>
      <w:color w:val="40A070"/>
    </w:rPr>
  </w:style>
  <w:style w:type="character" w:customStyle="1" w:styleId="45">
    <w:name w:val="FloatTok"/>
    <w:basedOn w:val="38"/>
    <w:qFormat/>
    <w:uiPriority w:val="0"/>
    <w:rPr>
      <w:color w:val="40A070"/>
    </w:rPr>
  </w:style>
  <w:style w:type="character" w:customStyle="1" w:styleId="46">
    <w:name w:val="ConstantTok"/>
    <w:basedOn w:val="38"/>
    <w:qFormat/>
    <w:uiPriority w:val="0"/>
    <w:rPr>
      <w:color w:val="880000"/>
    </w:rPr>
  </w:style>
  <w:style w:type="character" w:customStyle="1" w:styleId="47">
    <w:name w:val="CharTok"/>
    <w:basedOn w:val="38"/>
    <w:qFormat/>
    <w:uiPriority w:val="0"/>
    <w:rPr>
      <w:color w:val="4070A0"/>
    </w:rPr>
  </w:style>
  <w:style w:type="character" w:customStyle="1" w:styleId="48">
    <w:name w:val="SpecialCharTok"/>
    <w:basedOn w:val="38"/>
    <w:qFormat/>
    <w:uiPriority w:val="0"/>
    <w:rPr>
      <w:color w:val="4070A0"/>
    </w:rPr>
  </w:style>
  <w:style w:type="character" w:customStyle="1" w:styleId="49">
    <w:name w:val="StringTok"/>
    <w:basedOn w:val="38"/>
    <w:qFormat/>
    <w:uiPriority w:val="0"/>
    <w:rPr>
      <w:color w:val="4070A0"/>
    </w:rPr>
  </w:style>
  <w:style w:type="character" w:customStyle="1" w:styleId="50">
    <w:name w:val="VerbatimStringTok"/>
    <w:basedOn w:val="38"/>
    <w:qFormat/>
    <w:uiPriority w:val="0"/>
    <w:rPr>
      <w:color w:val="4070A0"/>
    </w:rPr>
  </w:style>
  <w:style w:type="character" w:customStyle="1" w:styleId="51">
    <w:name w:val="SpecialStringTok"/>
    <w:basedOn w:val="38"/>
    <w:qFormat/>
    <w:uiPriority w:val="0"/>
    <w:rPr>
      <w:color w:val="BB6688"/>
    </w:rPr>
  </w:style>
  <w:style w:type="character" w:customStyle="1" w:styleId="52">
    <w:name w:val="ImportTok"/>
    <w:basedOn w:val="38"/>
    <w:qFormat/>
    <w:uiPriority w:val="0"/>
  </w:style>
  <w:style w:type="character" w:customStyle="1" w:styleId="53">
    <w:name w:val="CommentTok"/>
    <w:basedOn w:val="38"/>
    <w:qFormat/>
    <w:uiPriority w:val="0"/>
    <w:rPr>
      <w:i/>
      <w:color w:val="60A0B0"/>
    </w:rPr>
  </w:style>
  <w:style w:type="character" w:customStyle="1" w:styleId="54">
    <w:name w:val="DocumentationTok"/>
    <w:basedOn w:val="38"/>
    <w:qFormat/>
    <w:uiPriority w:val="0"/>
    <w:rPr>
      <w:i/>
      <w:color w:val="BA2121"/>
    </w:rPr>
  </w:style>
  <w:style w:type="character" w:customStyle="1" w:styleId="55">
    <w:name w:val="AnnotationTok"/>
    <w:basedOn w:val="38"/>
    <w:qFormat/>
    <w:uiPriority w:val="0"/>
    <w:rPr>
      <w:b/>
      <w:i/>
      <w:color w:val="60A0B0"/>
    </w:rPr>
  </w:style>
  <w:style w:type="character" w:customStyle="1" w:styleId="56">
    <w:name w:val="CommentVarTok"/>
    <w:basedOn w:val="38"/>
    <w:qFormat/>
    <w:uiPriority w:val="0"/>
    <w:rPr>
      <w:b/>
      <w:i/>
      <w:color w:val="60A0B0"/>
    </w:rPr>
  </w:style>
  <w:style w:type="character" w:customStyle="1" w:styleId="57">
    <w:name w:val="OtherTok"/>
    <w:basedOn w:val="38"/>
    <w:qFormat/>
    <w:uiPriority w:val="0"/>
    <w:rPr>
      <w:color w:val="007020"/>
    </w:rPr>
  </w:style>
  <w:style w:type="character" w:customStyle="1" w:styleId="58">
    <w:name w:val="FunctionTok"/>
    <w:basedOn w:val="38"/>
    <w:qFormat/>
    <w:uiPriority w:val="0"/>
    <w:rPr>
      <w:color w:val="06287E"/>
    </w:rPr>
  </w:style>
  <w:style w:type="character" w:customStyle="1" w:styleId="59">
    <w:name w:val="VariableTok"/>
    <w:basedOn w:val="38"/>
    <w:qFormat/>
    <w:uiPriority w:val="0"/>
    <w:rPr>
      <w:color w:val="19177C"/>
    </w:rPr>
  </w:style>
  <w:style w:type="character" w:customStyle="1" w:styleId="60">
    <w:name w:val="ControlFlowTok"/>
    <w:basedOn w:val="38"/>
    <w:qFormat/>
    <w:uiPriority w:val="0"/>
    <w:rPr>
      <w:b/>
      <w:color w:val="007020"/>
    </w:rPr>
  </w:style>
  <w:style w:type="character" w:customStyle="1" w:styleId="61">
    <w:name w:val="OperatorTok"/>
    <w:basedOn w:val="38"/>
    <w:qFormat/>
    <w:uiPriority w:val="0"/>
    <w:rPr>
      <w:color w:val="666666"/>
    </w:rPr>
  </w:style>
  <w:style w:type="character" w:customStyle="1" w:styleId="62">
    <w:name w:val="BuiltInTok"/>
    <w:basedOn w:val="38"/>
    <w:qFormat/>
    <w:uiPriority w:val="0"/>
  </w:style>
  <w:style w:type="character" w:customStyle="1" w:styleId="63">
    <w:name w:val="ExtensionTok"/>
    <w:basedOn w:val="38"/>
    <w:qFormat/>
    <w:uiPriority w:val="0"/>
  </w:style>
  <w:style w:type="character" w:customStyle="1" w:styleId="64">
    <w:name w:val="PreprocessorTok"/>
    <w:basedOn w:val="38"/>
    <w:uiPriority w:val="0"/>
    <w:rPr>
      <w:color w:val="BC7A00"/>
    </w:rPr>
  </w:style>
  <w:style w:type="character" w:customStyle="1" w:styleId="65">
    <w:name w:val="AttributeTok"/>
    <w:basedOn w:val="38"/>
    <w:uiPriority w:val="0"/>
    <w:rPr>
      <w:color w:val="7D9029"/>
    </w:rPr>
  </w:style>
  <w:style w:type="character" w:customStyle="1" w:styleId="66">
    <w:name w:val="RegionMarkerTok"/>
    <w:basedOn w:val="38"/>
    <w:uiPriority w:val="0"/>
  </w:style>
  <w:style w:type="character" w:customStyle="1" w:styleId="67">
    <w:name w:val="InformationTok"/>
    <w:basedOn w:val="38"/>
    <w:uiPriority w:val="0"/>
    <w:rPr>
      <w:b/>
      <w:i/>
      <w:color w:val="60A0B0"/>
    </w:rPr>
  </w:style>
  <w:style w:type="character" w:customStyle="1" w:styleId="68">
    <w:name w:val="WarningTok"/>
    <w:basedOn w:val="38"/>
    <w:qFormat/>
    <w:uiPriority w:val="0"/>
    <w:rPr>
      <w:b/>
      <w:i/>
      <w:color w:val="60A0B0"/>
    </w:rPr>
  </w:style>
  <w:style w:type="character" w:customStyle="1" w:styleId="69">
    <w:name w:val="AlertTok"/>
    <w:basedOn w:val="38"/>
    <w:qFormat/>
    <w:uiPriority w:val="0"/>
    <w:rPr>
      <w:b/>
      <w:color w:val="FF0000"/>
    </w:rPr>
  </w:style>
  <w:style w:type="character" w:customStyle="1" w:styleId="70">
    <w:name w:val="ErrorTok"/>
    <w:basedOn w:val="38"/>
    <w:qFormat/>
    <w:uiPriority w:val="0"/>
    <w:rPr>
      <w:b/>
      <w:color w:val="FF0000"/>
    </w:rPr>
  </w:style>
  <w:style w:type="character" w:customStyle="1" w:styleId="71">
    <w:name w:val="NormalTok"/>
    <w:basedOn w:val="3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0" textRotate="1"/>
    <customShpInfo spid="_x0000_s1026" textRotate="1"/>
    <customShpInfo spid="_x0000_s1029" textRotate="1"/>
    <customShpInfo spid="_x0000_s1028" textRotate="1"/>
    <customShpInfo spid="_x0000_s1027" textRotate="1"/>
    <customShpInfo spid="_x0000_s1031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757</Words>
  <Characters>1074</Characters>
  <Lines>12</Lines>
  <Paragraphs>8</Paragraphs>
  <TotalTime>9</TotalTime>
  <ScaleCrop>false</ScaleCrop>
  <LinksUpToDate>false</LinksUpToDate>
  <CharactersWithSpaces>1286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2026-05-27T10:49:00Z</dcterms:created>
  <dc:creator>=</dc:creator>
  <cp:lastModifiedBy>=</cp:lastModifiedBy>
  <dcterms:modified xsi:type="dcterms:W3CDTF">2026-05-28T04:25:55Z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eyJoZGlkIjoiMDJkMTk1ZjliYzhjODM2ZjhlZWEyODgzY2E4NjkzOGQiLCJ1c2VySWQiOiIyNzg3MTM5OTYifQ==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3CB5DE43AB3F45B1A514BB05F0ABE34D_12</vt:lpwstr>
  </property>
</Properties>
</file>