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EAE05">
      <w:pPr>
        <w:pStyle w:val="2"/>
      </w:pPr>
      <w:bookmarkStart w:id="0" w:name="极企智能楼宇通行系统研发-技术补充说明"/>
      <w:r>
        <w:t>极企智能楼宇通行系统研发 技术补充说明</w:t>
      </w:r>
      <w:bookmarkEnd w:id="0"/>
    </w:p>
    <w:p w14:paraId="1520C5EB">
      <w:pPr>
        <w:pStyle w:val="23"/>
      </w:pPr>
      <w:r>
        <w:rPr>
          <w:b/>
        </w:rPr>
        <w:t>项目编号：JQ2024001</w:t>
      </w:r>
    </w:p>
    <w:p w14:paraId="5FA2EB0A">
      <w:pPr>
        <w:pStyle w:val="3"/>
      </w:pPr>
      <w:r>
        <w:t>本补充说明系对已提交的《极企智能楼宇通行系统研发立项报告》中研发内容、核心技术与创新点的进一步深化阐述，旨在更完整地呈现项目研发的技术攻关实质，与原立项报告内容一致，不存在矛盾。</w:t>
      </w:r>
    </w:p>
    <w:p w14:paraId="5B6961D3">
      <w:r>
        <w:pict>
          <v:rect id="_x0000_i1025" o:spt="1" style="height:1.5pt;width:0pt;" coordsize="21600,21600" o:hr="t" o:hrstd="t" o:hralign="center">
            <v:path/>
            <v:fill focussize="0,0"/>
            <v:stroke/>
            <v:imagedata o:title=""/>
            <o:lock v:ext="edit"/>
            <w10:wrap type="none"/>
            <w10:anchorlock/>
          </v:rect>
        </w:pict>
      </w:r>
    </w:p>
    <w:p w14:paraId="0898D1DE">
      <w:pPr>
        <w:pStyle w:val="4"/>
      </w:pPr>
      <w:bookmarkStart w:id="1" w:name="一技术背景与现有技术不足"/>
      <w:r>
        <w:t>一、技术背景与现有技术不足</w:t>
      </w:r>
      <w:bookmarkEnd w:id="1"/>
    </w:p>
    <w:p w14:paraId="334B0808">
      <w:pPr>
        <w:pStyle w:val="5"/>
      </w:pPr>
      <w:bookmarkStart w:id="2" w:name="行业技术现状"/>
      <w:r>
        <w:t>1.1 行业技术现状</w:t>
      </w:r>
      <w:bookmarkEnd w:id="2"/>
    </w:p>
    <w:p w14:paraId="5842F39D">
      <w:pPr>
        <w:pStyle w:val="23"/>
      </w:pPr>
      <w:r>
        <w:t>当前楼宇通行领域，门禁系统、梯控系统、访客系统等普遍由不同厂商提供，各系统采用独立的通信协议和权限管理体系，存在以下技术瓶颈：</w:t>
      </w:r>
    </w:p>
    <w:p w14:paraId="3E1EE45C">
      <w:pPr>
        <w:pStyle w:val="3"/>
      </w:pPr>
      <w:r>
        <w:t>（1）</w:t>
      </w:r>
      <w:r>
        <w:rPr>
          <w:b/>
        </w:rPr>
        <w:t>多品牌设备协议壁垒</w:t>
      </w:r>
      <w:r>
        <w:t>：市面主流门禁设备分别采用不同的通信方式（部分支持MQTT，部分仅提供HTTP API，部分仅支持RS485串口通信），数据格式、指令集互不兼容，无法实现跨品牌设备的统一管控；</w:t>
      </w:r>
    </w:p>
    <w:p w14:paraId="4FDBF9A8">
      <w:pPr>
        <w:pStyle w:val="3"/>
      </w:pPr>
      <w:r>
        <w:t>（2）</w:t>
      </w:r>
      <w:r>
        <w:rPr>
          <w:b/>
        </w:rPr>
        <w:t>通行权限碎片化管理</w:t>
      </w:r>
      <w:r>
        <w:t>：现有系统通常各管各的权限，门禁授权与梯控授权分离，人员通行需要多次登记、分别授权，无法实现“一次授权、全域通行”；</w:t>
      </w:r>
    </w:p>
    <w:p w14:paraId="5169191C">
      <w:pPr>
        <w:pStyle w:val="3"/>
      </w:pPr>
      <w:r>
        <w:t>（3）</w:t>
      </w:r>
      <w:r>
        <w:rPr>
          <w:b/>
        </w:rPr>
        <w:t>多模态核验调度融合不足</w:t>
      </w:r>
      <w:r>
        <w:t>：人脸识别、二维码、NFC等通行核验方式由不同终端设备分别处理，缺乏统一的核验调度机制，难以在同一通行场景中灵活切换和组合验证。</w:t>
      </w:r>
    </w:p>
    <w:p w14:paraId="01268DA3">
      <w:pPr>
        <w:pStyle w:val="5"/>
      </w:pPr>
      <w:bookmarkStart w:id="3" w:name="现有技术方案的不足"/>
      <w:r>
        <w:t>1.2 现有技术方案的不足</w:t>
      </w:r>
      <w:bookmarkEnd w:id="3"/>
    </w:p>
    <w:p w14:paraId="3AB0EEA8">
      <w:pPr>
        <w:pStyle w:val="23"/>
      </w:pPr>
      <w:r>
        <w:t>（1）现有通行管理方案多支持单一品牌设备接入，扩展新品牌需要重新开发适配模块；</w:t>
      </w:r>
    </w:p>
    <w:p w14:paraId="18F4EB3C">
      <w:pPr>
        <w:pStyle w:val="3"/>
      </w:pPr>
      <w:r>
        <w:t>（2）通行权限无法跨设备统一配置，人员变动时需逐系统操作；</w:t>
      </w:r>
    </w:p>
    <w:p w14:paraId="6489C865">
      <w:pPr>
        <w:pStyle w:val="3"/>
      </w:pPr>
      <w:r>
        <w:t>（3）多模态核验终端各自为政，缺乏统一的核验调度和降级容错机制。</w:t>
      </w:r>
    </w:p>
    <w:p w14:paraId="4F54C2CB">
      <w:r>
        <w:pict>
          <v:rect id="_x0000_i1026" o:spt="1" style="height:1.5pt;width:0pt;" coordsize="21600,21600" o:hr="t" o:hrstd="t" o:hralign="center">
            <v:path/>
            <v:fill focussize="0,0"/>
            <v:stroke/>
            <v:imagedata o:title=""/>
            <o:lock v:ext="edit"/>
            <w10:wrap type="none"/>
            <w10:anchorlock/>
          </v:rect>
        </w:pict>
      </w:r>
    </w:p>
    <w:p w14:paraId="0FA8D7BC">
      <w:pPr>
        <w:pStyle w:val="4"/>
      </w:pPr>
      <w:bookmarkStart w:id="4" w:name="二核心技术攻关详述"/>
      <w:r>
        <w:t>二、核心技术攻关详述</w:t>
      </w:r>
      <w:bookmarkEnd w:id="4"/>
    </w:p>
    <w:p w14:paraId="17134F7F">
      <w:pPr>
        <w:pStyle w:val="5"/>
      </w:pPr>
      <w:bookmarkStart w:id="5" w:name="多模态通行核验调度技术"/>
      <w:r>
        <w:t>2.1 多模态通行核验调度技术</w:t>
      </w:r>
      <w:bookmarkEnd w:id="5"/>
    </w:p>
    <w:p w14:paraId="2621E260">
      <w:pPr>
        <w:pStyle w:val="23"/>
      </w:pPr>
      <w:r>
        <w:rPr>
          <w:b/>
        </w:rPr>
        <w:t>技术难点：</w:t>
      </w:r>
      <w:r>
        <w:t xml:space="preserve"> 楼宇通行场景中，不同出入口配置的核验终端类型不同（大堂闸机配人脸+二维码、侧门配IC卡读卡器、电梯配人脸终端），需要在服务端统一调度不同核验方式的权限下发和核验结果处理。核心难点在于：不同类型终端的通信协议和指令格式不同（人脸终端走MQTT、IC卡读卡器走RS485、二维码扫码器走HTTP），需设计统一的核验调度框架，将不同终端的核验请求标准化处理，同时支持核验方式的降级容错（如人脸识别失败时自动切换为二维码核验）。</w:t>
      </w:r>
    </w:p>
    <w:p w14:paraId="0E9582C9">
      <w:pPr>
        <w:pStyle w:val="3"/>
      </w:pPr>
      <w:r>
        <w:rPr>
          <w:b/>
        </w:rPr>
        <w:t>技术路线：</w:t>
      </w:r>
      <w:r>
        <w:t xml:space="preserve"> 设计了多模态核验调度引擎，将不同核验方式的处理流程抽象为统一的核验管道（Pipeline）。核验请求经统一入口进入调度引擎后，根据人员注册的凭证类型（人脸特征值/卡号/二维码）和目标设备的支持能力，动态选择核验方式，生成对应的权限下发指令。支持主核验方式失败时的自动降级策略。</w:t>
      </w:r>
    </w:p>
    <w:p w14:paraId="18A65C3F">
      <w:pPr>
        <w:pStyle w:val="3"/>
      </w:pPr>
      <w:r>
        <w:t xml:space="preserve">系统支持三种核验方式的统一调度： - </w:t>
      </w:r>
      <w:r>
        <w:rPr>
          <w:b/>
        </w:rPr>
        <w:t>人脸核验</w:t>
      </w:r>
      <w:r>
        <w:t xml:space="preserve">：人员人脸照片上传后，系统提取人脸特征值，通过MQTT下发至人脸终端设备；通行时人脸终端比对结果通过MQTT上报，系统记录通行日志并展示注册底图与现场抓拍图对比； - </w:t>
      </w:r>
      <w:r>
        <w:rPr>
          <w:b/>
        </w:rPr>
        <w:t>二维码核验</w:t>
      </w:r>
      <w:r>
        <w:t xml:space="preserve">：系统生成动态二维码下发至人员手机，二维码扫码器通过HTTP接口核验有效性； - </w:t>
      </w:r>
      <w:r>
        <w:rPr>
          <w:b/>
        </w:rPr>
        <w:t>NFC/IC卡核验</w:t>
      </w:r>
      <w:r>
        <w:t>：人员卡号绑定后，通过读卡器刷卡，系统校验卡号权限。</w:t>
      </w:r>
    </w:p>
    <w:p w14:paraId="376FB572">
      <w:pPr>
        <w:pStyle w:val="3"/>
      </w:pPr>
      <w:r>
        <w:rPr>
          <w:b/>
        </w:rPr>
        <w:t>攻关过程：</w:t>
      </w:r>
      <w:r>
        <w:t xml:space="preserve"> 初期各类型终端的权限下发逻辑独立实现，代码重复度高且无法统一管控。后抽象为调度引擎架构，统一处理核验请求和权限下发。在实测中发现，不同品牌人脸终端的特征值格式不统一，需在调度层增加特征值格式转换适配，确保同一人员的人脸特征值能正确下发到不同品牌终端。人脸照片的质量检测（角度、光照、遮挡）也需在录入环节自动校验，确保符合识别算法要求。</w:t>
      </w:r>
    </w:p>
    <w:p w14:paraId="4DA2277C">
      <w:pPr>
        <w:pStyle w:val="3"/>
      </w:pPr>
      <w:r>
        <w:rPr>
          <w:b/>
        </w:rPr>
        <w:t>技术效果：</w:t>
      </w:r>
      <w:r>
        <w:t xml:space="preserve"> 支持3种核验方式（人脸/二维码/NFC）的统一调度和降级切换，权限下发延迟≤</w:t>
      </w:r>
      <w:r>
        <w:rPr>
          <w:rFonts w:hint="eastAsia" w:eastAsia="宋体"/>
          <w:highlight w:val="yellow"/>
          <w:u w:color="FFFF00"/>
          <w:lang w:eastAsia="zh-CN"/>
        </w:rPr>
        <w:t>[X]</w:t>
      </w:r>
      <w:r>
        <w:t>秒，高并发场景（</w:t>
      </w:r>
      <w:r>
        <w:rPr>
          <w:rFonts w:hint="eastAsia" w:eastAsia="宋体"/>
          <w:highlight w:val="yellow"/>
          <w:u w:color="FFFF00"/>
          <w:lang w:eastAsia="zh-CN"/>
        </w:rPr>
        <w:t>[X]</w:t>
      </w:r>
      <w:r>
        <w:t>人/分钟）下系统稳定运行。</w:t>
      </w:r>
    </w:p>
    <w:p w14:paraId="72E9EDDF">
      <w:pPr>
        <w:pStyle w:val="3"/>
      </w:pPr>
      <w:r>
        <w:rPr>
          <w:b/>
        </w:rPr>
        <w:t>【说明】</w:t>
      </w:r>
      <w:r>
        <w:t xml:space="preserve"> 本项目的多模态核验调度技术侧重于服务端的核验方式统一调度和权限下发管理，人脸识别算法本身采用终端设备内置算法，本项目未自研人脸识别算法。</w:t>
      </w:r>
    </w:p>
    <w:p w14:paraId="2B6C3B0D">
      <w:pPr>
        <w:pStyle w:val="5"/>
      </w:pPr>
      <w:bookmarkStart w:id="6" w:name="多品牌设备统一接入与权限同步技术"/>
      <w:r>
        <w:t>2.2 多品牌设备统一接入与权限同步技术</w:t>
      </w:r>
      <w:bookmarkEnd w:id="6"/>
    </w:p>
    <w:p w14:paraId="50E0C144">
      <w:pPr>
        <w:pStyle w:val="23"/>
      </w:pPr>
      <w:r>
        <w:rPr>
          <w:b/>
        </w:rPr>
        <w:t>技术难点：</w:t>
      </w:r>
      <w:r>
        <w:t xml:space="preserve"> 楼宇内门禁控制器、人脸终端、梯控设备来自不同厂商，通信方式各异（MQTT/HTTP/RS485），需设计统一的设备接入框架，实现：①不同品牌设备的注册发现和连接管理；②人员权限变更后，增量同步至所有关联设备；③设备离线时的权限缓存和恢复同步机制。</w:t>
      </w:r>
    </w:p>
    <w:p w14:paraId="7D7E4AAC">
      <w:pPr>
        <w:pStyle w:val="3"/>
      </w:pPr>
      <w:r>
        <w:rPr>
          <w:b/>
        </w:rPr>
        <w:t>技术路线：</w:t>
      </w:r>
      <w:r>
        <w:t xml:space="preserve"> 针对通行场景涉及的门禁控制器、人脸终端、梯控设备，独立开发了MQTT/HTTP协议的设备对接逻辑——</w:t>
      </w:r>
    </w:p>
    <w:p w14:paraId="422EC46A">
      <w:pPr>
        <w:pStyle w:val="24"/>
        <w:numPr>
          <w:ilvl w:val="0"/>
          <w:numId w:val="1"/>
        </w:numPr>
      </w:pPr>
      <w:r>
        <w:rPr>
          <w:b/>
        </w:rPr>
        <w:t>门禁控制器接入</w:t>
      </w:r>
      <w:r>
        <w:t>：通过HTTP API实现设备的注册、状态监控和指令下发，支持心跳上报和离线检测；</w:t>
      </w:r>
    </w:p>
    <w:p w14:paraId="441C1D62">
      <w:pPr>
        <w:pStyle w:val="24"/>
        <w:numPr>
          <w:ilvl w:val="0"/>
          <w:numId w:val="1"/>
        </w:numPr>
      </w:pPr>
      <w:r>
        <w:rPr>
          <w:b/>
        </w:rPr>
        <w:t>人脸终端接入</w:t>
      </w:r>
      <w:r>
        <w:t>：通过MQTT协议实现人脸特征值下发、通行事件上报、设备心跳监控，采用MQTT主题订阅规则管理消息路由；</w:t>
      </w:r>
    </w:p>
    <w:p w14:paraId="2B04E465">
      <w:pPr>
        <w:pStyle w:val="24"/>
        <w:numPr>
          <w:ilvl w:val="0"/>
          <w:numId w:val="1"/>
        </w:numPr>
      </w:pPr>
      <w:r>
        <w:rPr>
          <w:b/>
        </w:rPr>
        <w:t>权限增量同步</w:t>
      </w:r>
      <w:r>
        <w:t>：人员权限变更时，系统计算增量差集，通过MQTT/HTTP将变更指令下发至对应设备，未确认的指令自动重试；</w:t>
      </w:r>
    </w:p>
    <w:p w14:paraId="3AA2B257">
      <w:pPr>
        <w:pStyle w:val="24"/>
        <w:numPr>
          <w:ilvl w:val="0"/>
          <w:numId w:val="1"/>
        </w:numPr>
      </w:pPr>
      <w:r>
        <w:rPr>
          <w:b/>
        </w:rPr>
        <w:t>边缘缓存与断点续传</w:t>
      </w:r>
      <w:r>
        <w:t>：设备离线期间，权限变更缓存在消息队列中，设备恢复在线后自动补发，确保数据完整性。</w:t>
      </w:r>
    </w:p>
    <w:p w14:paraId="25864C7C">
      <w:pPr>
        <w:pStyle w:val="23"/>
      </w:pPr>
      <w:r>
        <w:rPr>
          <w:b/>
        </w:rPr>
        <w:t>【说明】</w:t>
      </w:r>
      <w:r>
        <w:t xml:space="preserve"> 本项目开发期间（2024.1-2025.3），公司尚未启动AIoT底层技术预研（JQ2025005，2025年8月立项），因此本系统的设备对接逻辑是独立开发的，未使用其他项目的通用框架。后续AIoT预研项目已将本系统的MQTT/HTTP适配经验纳入统一框架设计。</w:t>
      </w:r>
    </w:p>
    <w:p w14:paraId="14DEA08A">
      <w:pPr>
        <w:pStyle w:val="3"/>
      </w:pPr>
      <w:r>
        <w:rPr>
          <w:b/>
        </w:rPr>
        <w:t>攻关过程：</w:t>
      </w:r>
      <w:r>
        <w:t xml:space="preserve"> 在适配[具体品牌]门禁控制器时，发现其MQTT接口的指令响应格式与文档描述不一致，需通过抓包分析确认实际格式。在权限同步场景中，人员入职/离职涉及大量设备的批量权限更新，初期采用逐设备串行下发，耗时过长，后改为并行下发+确认重试机制。用户同步管理模块需对接HR系统、AD域、钉钉/企业微信等第三方系统，不同系统的数据格式和同步策略各异，需逐一适配。</w:t>
      </w:r>
    </w:p>
    <w:p w14:paraId="136BACCF">
      <w:pPr>
        <w:pStyle w:val="3"/>
      </w:pPr>
      <w:r>
        <w:rPr>
          <w:b/>
        </w:rPr>
        <w:t>技术效果：</w:t>
      </w:r>
      <w:r>
        <w:t xml:space="preserve"> 已适配</w:t>
      </w:r>
      <w:r>
        <w:rPr>
          <w:rFonts w:hint="eastAsia" w:eastAsia="宋体"/>
          <w:highlight w:val="yellow"/>
          <w:u w:color="FFFF00"/>
          <w:lang w:eastAsia="zh-CN"/>
        </w:rPr>
        <w:t>[X]</w:t>
      </w:r>
      <w:r>
        <w:t>个品牌门禁/梯控设备，权限增量同步延迟≤</w:t>
      </w:r>
      <w:r>
        <w:rPr>
          <w:rFonts w:hint="eastAsia" w:eastAsia="宋体"/>
          <w:highlight w:val="yellow"/>
          <w:u w:color="FFFF00"/>
          <w:lang w:eastAsia="zh-CN"/>
        </w:rPr>
        <w:t>[X]</w:t>
      </w:r>
      <w:r>
        <w:t>秒，设备离线恢复后权限自动补发成功率100%。</w:t>
      </w:r>
    </w:p>
    <w:p w14:paraId="1E2DF148">
      <w:pPr>
        <w:pStyle w:val="5"/>
      </w:pPr>
      <w:bookmarkStart w:id="7" w:name="门禁-梯控联动派梯技术"/>
      <w:r>
        <w:t>2.3 门禁-梯控联动派梯技术</w:t>
      </w:r>
      <w:bookmarkEnd w:id="7"/>
    </w:p>
    <w:p w14:paraId="278ED042">
      <w:pPr>
        <w:pStyle w:val="23"/>
      </w:pPr>
      <w:r>
        <w:rPr>
          <w:b/>
        </w:rPr>
        <w:t>技术难点：</w:t>
      </w:r>
      <w:r>
        <w:t xml:space="preserve"> 实现门禁与电梯控制系统的深度融合——人员通过闸机后，系统需根据其权限组自动判断目标楼层，联动电梯控制系统完成目的选层（DCS）派梯。难点在于：不同品牌梯控系统的派梯接口和楼层映射逻辑不同，需统一适配；高峰时段的集中派梯需考虑电梯调度效率。</w:t>
      </w:r>
    </w:p>
    <w:p w14:paraId="040FF05A">
      <w:pPr>
        <w:pStyle w:val="3"/>
      </w:pPr>
      <w:r>
        <w:rPr>
          <w:b/>
        </w:rPr>
        <w:t>技术路线：</w:t>
      </w:r>
      <w:r>
        <w:t xml:space="preserve"> 设计了派梯策略引擎——</w:t>
      </w:r>
    </w:p>
    <w:p w14:paraId="4A631929">
      <w:pPr>
        <w:pStyle w:val="24"/>
        <w:numPr>
          <w:ilvl w:val="0"/>
          <w:numId w:val="1"/>
        </w:numPr>
      </w:pPr>
      <w:r>
        <w:rPr>
          <w:b/>
        </w:rPr>
        <w:t>梯控设备管理</w:t>
      </w:r>
      <w:r>
        <w:t>：配置电梯控制器的IP地址、端口及协议类型；</w:t>
      </w:r>
    </w:p>
    <w:p w14:paraId="06654B46">
      <w:pPr>
        <w:pStyle w:val="24"/>
        <w:numPr>
          <w:ilvl w:val="0"/>
          <w:numId w:val="1"/>
        </w:numPr>
      </w:pPr>
      <w:r>
        <w:rPr>
          <w:b/>
        </w:rPr>
        <w:t>楼层映射</w:t>
      </w:r>
      <w:r>
        <w:t>：建立物理楼层与电梯系统逻辑楼层的映射关系；</w:t>
      </w:r>
    </w:p>
    <w:p w14:paraId="56F1E362">
      <w:pPr>
        <w:pStyle w:val="24"/>
        <w:numPr>
          <w:ilvl w:val="0"/>
          <w:numId w:val="1"/>
        </w:numPr>
      </w:pPr>
      <w:r>
        <w:rPr>
          <w:b/>
        </w:rPr>
        <w:t>默认策略</w:t>
      </w:r>
      <w:r>
        <w:t>：设置不同人员类型的默认乘梯权限（如访客仅能到达被访楼层，员工可到达所在办公楼层及公共层）；</w:t>
      </w:r>
    </w:p>
    <w:p w14:paraId="6BEBD635">
      <w:pPr>
        <w:pStyle w:val="24"/>
        <w:numPr>
          <w:ilvl w:val="0"/>
          <w:numId w:val="1"/>
        </w:numPr>
      </w:pPr>
      <w:r>
        <w:rPr>
          <w:b/>
        </w:rPr>
        <w:t>人员楼层授权</w:t>
      </w:r>
      <w:r>
        <w:t>：针对特定人员（如高管、运维人员）进行个性化楼层权限配置，支持VIP优先派梯；</w:t>
      </w:r>
    </w:p>
    <w:p w14:paraId="4F748916">
      <w:pPr>
        <w:pStyle w:val="24"/>
        <w:numPr>
          <w:ilvl w:val="0"/>
          <w:numId w:val="1"/>
        </w:numPr>
      </w:pPr>
      <w:r>
        <w:rPr>
          <w:b/>
        </w:rPr>
        <w:t>无感通行</w:t>
      </w:r>
      <w:r>
        <w:t>：配置人员通过闸机时自动触发呼梯指令，实现“刷脸通行+自动派梯”的无感体验。</w:t>
      </w:r>
    </w:p>
    <w:p w14:paraId="39A026CC">
      <w:pPr>
        <w:pStyle w:val="23"/>
      </w:pPr>
      <w:r>
        <w:rPr>
          <w:b/>
        </w:rPr>
        <w:t>攻关过程：</w:t>
      </w:r>
      <w:r>
        <w:t xml:space="preserve"> 不同品牌梯控系统的楼层编码规则不统一，需在适配层建立统一的楼层映射表。派梯指令的时序控制需要与闸机放行时间精确配合——闸机放行后需在</w:t>
      </w:r>
      <w:r>
        <w:rPr>
          <w:rFonts w:hint="eastAsia" w:eastAsia="宋体"/>
          <w:u w:color="FFFF00"/>
          <w:lang w:eastAsia="zh-CN"/>
        </w:rPr>
        <w:t>[X]</w:t>
      </w:r>
      <w:r>
        <w:t>秒内完成派梯，否则用户体验不佳。高峰时段多人同时通行时的并发派梯请求需要排队处理，避免电梯控制器指令冲突。</w:t>
      </w:r>
    </w:p>
    <w:p w14:paraId="6F2E8D9D">
      <w:pPr>
        <w:pStyle w:val="3"/>
      </w:pPr>
      <w:r>
        <w:rPr>
          <w:b/>
        </w:rPr>
        <w:t>技术效果：</w:t>
      </w:r>
      <w:r>
        <w:t xml:space="preserve"> 支持</w:t>
      </w:r>
      <w:r>
        <w:rPr>
          <w:rFonts w:hint="eastAsia" w:eastAsia="宋体"/>
          <w:highlight w:val="yellow"/>
          <w:u w:color="FFFF00"/>
          <w:lang w:eastAsia="zh-CN"/>
        </w:rPr>
        <w:t>[X]</w:t>
      </w:r>
      <w:r>
        <w:t>种品牌梯控系统对接，闸机-派梯联动延迟≤</w:t>
      </w:r>
      <w:r>
        <w:rPr>
          <w:rFonts w:hint="eastAsia" w:eastAsia="宋体"/>
          <w:highlight w:val="yellow"/>
          <w:u w:color="FFFF00"/>
          <w:lang w:eastAsia="zh-CN"/>
        </w:rPr>
        <w:t>[X]</w:t>
      </w:r>
      <w:r>
        <w:t>秒。</w:t>
      </w:r>
    </w:p>
    <w:p w14:paraId="1A1AE0F9">
      <w:r>
        <w:pict>
          <v:rect id="_x0000_i1027" o:spt="1" style="height:1.5pt;width:0pt;" coordsize="21600,21600" o:hr="t" o:hrstd="t" o:hralign="center">
            <v:path/>
            <v:fill focussize="0,0"/>
            <v:stroke/>
            <v:imagedata o:title=""/>
            <o:lock v:ext="edit"/>
            <w10:wrap type="none"/>
            <w10:anchorlock/>
          </v:rect>
        </w:pict>
      </w:r>
      <w:bookmarkStart w:id="11" w:name="_GoBack"/>
      <w:bookmarkEnd w:id="11"/>
    </w:p>
    <w:p w14:paraId="43FDC9C1">
      <w:pPr>
        <w:pStyle w:val="4"/>
      </w:pPr>
      <w:bookmarkStart w:id="8" w:name="三技术不确定性说明"/>
      <w:r>
        <w:t>三、技术不确定性说明</w:t>
      </w:r>
      <w:bookmarkEnd w:id="8"/>
    </w:p>
    <w:p w14:paraId="1CB34FA8">
      <w:pPr>
        <w:pStyle w:val="23"/>
      </w:pPr>
      <w:r>
        <w:t>（1）不同品牌门禁/梯控设备的统一接入方案是否可行，协议适配过程中的兼容性问题需逐个设备验证；</w:t>
      </w:r>
    </w:p>
    <w:p w14:paraId="2C38AD95">
      <w:pPr>
        <w:pStyle w:val="3"/>
      </w:pPr>
      <w:r>
        <w:t>（2）高并发通行场景下权限同步的实时性和一致性能否兼顾，需在不同网络条件下反复测试；</w:t>
      </w:r>
    </w:p>
    <w:p w14:paraId="574EC25B">
      <w:pPr>
        <w:pStyle w:val="3"/>
      </w:pPr>
      <w:r>
        <w:t>（3）多模态核验调度的降级容错机制是否可靠，需实测验证；</w:t>
      </w:r>
    </w:p>
    <w:p w14:paraId="3788B39C">
      <w:pPr>
        <w:pStyle w:val="3"/>
      </w:pPr>
      <w:r>
        <w:t>（4）人脸照片质量和终端设备适配对通行成功率的影响不确定，需持续优化。</w:t>
      </w:r>
    </w:p>
    <w:p w14:paraId="5ADF0F0F">
      <w:r>
        <w:pict>
          <v:rect id="_x0000_i1028" o:spt="1" style="height:1.5pt;width:0pt;" coordsize="21600,21600" o:hr="t" o:hrstd="t" o:hralign="center">
            <v:path/>
            <v:fill focussize="0,0"/>
            <v:stroke/>
            <v:imagedata o:title=""/>
            <o:lock v:ext="edit"/>
            <w10:wrap type="none"/>
            <w10:anchorlock/>
          </v:rect>
        </w:pict>
      </w:r>
    </w:p>
    <w:p w14:paraId="72C5E3B5">
      <w:pPr>
        <w:pStyle w:val="4"/>
      </w:pPr>
      <w:bookmarkStart w:id="9" w:name="四与现有技术产品的对比"/>
      <w:r>
        <w:t>四、与现有技术/产品的对比</w:t>
      </w:r>
      <w:bookmarkEnd w:id="9"/>
    </w:p>
    <w:tbl>
      <w:tblPr>
        <w:tblStyle w:val="28"/>
        <w:tblW w:w="0" w:type="pct"/>
        <w:tblInd w:w="0" w:type="dxa"/>
        <w:tblLayout w:type="autofit"/>
        <w:tblCellMar>
          <w:top w:w="0" w:type="dxa"/>
          <w:left w:w="108" w:type="dxa"/>
          <w:bottom w:w="0" w:type="dxa"/>
          <w:right w:w="108" w:type="dxa"/>
        </w:tblCellMar>
      </w:tblPr>
      <w:tblGrid>
        <w:gridCol w:w="1306"/>
        <w:gridCol w:w="1816"/>
        <w:gridCol w:w="5734"/>
      </w:tblGrid>
      <w:tr w14:paraId="72A071F6">
        <w:tblPrEx>
          <w:tblCellMar>
            <w:top w:w="0" w:type="dxa"/>
            <w:left w:w="108" w:type="dxa"/>
            <w:bottom w:w="0" w:type="dxa"/>
            <w:right w:w="108" w:type="dxa"/>
          </w:tblCellMar>
        </w:tblPrEx>
        <w:tc>
          <w:tcPr>
            <w:tcBorders>
              <w:bottom w:val="single" w:color="auto" w:sz="0" w:space="0"/>
            </w:tcBorders>
            <w:vAlign w:val="bottom"/>
          </w:tcPr>
          <w:p w14:paraId="724666AF">
            <w:pPr>
              <w:pStyle w:val="24"/>
              <w:jc w:val="left"/>
            </w:pPr>
            <w:r>
              <w:t>对比维度</w:t>
            </w:r>
          </w:p>
        </w:tc>
        <w:tc>
          <w:tcPr>
            <w:tcBorders>
              <w:bottom w:val="single" w:color="auto" w:sz="0" w:space="0"/>
            </w:tcBorders>
            <w:vAlign w:val="bottom"/>
          </w:tcPr>
          <w:p w14:paraId="68B99BBC">
            <w:pPr>
              <w:pStyle w:val="24"/>
              <w:jc w:val="left"/>
            </w:pPr>
            <w:r>
              <w:t>现有通行管理方案</w:t>
            </w:r>
          </w:p>
        </w:tc>
        <w:tc>
          <w:tcPr>
            <w:tcBorders>
              <w:bottom w:val="single" w:color="auto" w:sz="0" w:space="0"/>
            </w:tcBorders>
            <w:vAlign w:val="bottom"/>
          </w:tcPr>
          <w:p w14:paraId="754CBA30">
            <w:pPr>
              <w:pStyle w:val="24"/>
              <w:jc w:val="left"/>
            </w:pPr>
            <w:r>
              <w:t>本项目技术方案</w:t>
            </w:r>
          </w:p>
        </w:tc>
      </w:tr>
      <w:tr w14:paraId="2AF9BE58">
        <w:tblPrEx>
          <w:tblCellMar>
            <w:top w:w="0" w:type="dxa"/>
            <w:left w:w="108" w:type="dxa"/>
            <w:bottom w:w="0" w:type="dxa"/>
            <w:right w:w="108" w:type="dxa"/>
          </w:tblCellMar>
        </w:tblPrEx>
        <w:tc>
          <w:p w14:paraId="20BEA5A5">
            <w:pPr>
              <w:pStyle w:val="24"/>
              <w:jc w:val="left"/>
            </w:pPr>
            <w:r>
              <w:t>设备兼容性</w:t>
            </w:r>
          </w:p>
        </w:tc>
        <w:tc>
          <w:p w14:paraId="21FDB329">
            <w:pPr>
              <w:pStyle w:val="24"/>
              <w:jc w:val="left"/>
            </w:pPr>
            <w:r>
              <w:t>单一品牌或限定型号</w:t>
            </w:r>
          </w:p>
        </w:tc>
        <w:tc>
          <w:p w14:paraId="6F582263">
            <w:pPr>
              <w:pStyle w:val="24"/>
              <w:jc w:val="left"/>
            </w:pPr>
            <w:r>
              <w:t>独立开发多品牌设备的MQTT/HTTP适配逻辑，支持跨品牌统一管控</w:t>
            </w:r>
          </w:p>
        </w:tc>
      </w:tr>
      <w:tr w14:paraId="4F4770D9">
        <w:tblPrEx>
          <w:tblCellMar>
            <w:top w:w="0" w:type="dxa"/>
            <w:left w:w="108" w:type="dxa"/>
            <w:bottom w:w="0" w:type="dxa"/>
            <w:right w:w="108" w:type="dxa"/>
          </w:tblCellMar>
        </w:tblPrEx>
        <w:tc>
          <w:p w14:paraId="62EC87F5">
            <w:pPr>
              <w:pStyle w:val="24"/>
              <w:jc w:val="left"/>
            </w:pPr>
            <w:r>
              <w:t>权限管理方式</w:t>
            </w:r>
          </w:p>
        </w:tc>
        <w:tc>
          <w:p w14:paraId="3C6E1CEE">
            <w:pPr>
              <w:pStyle w:val="24"/>
              <w:jc w:val="left"/>
            </w:pPr>
            <w:r>
              <w:t>各系统独立授权</w:t>
            </w:r>
          </w:p>
        </w:tc>
        <w:tc>
          <w:p w14:paraId="45142E62">
            <w:pPr>
              <w:pStyle w:val="24"/>
              <w:jc w:val="left"/>
            </w:pPr>
            <w:r>
              <w:t>RBAC权限组统一配置，一次授权多设备生效</w:t>
            </w:r>
          </w:p>
        </w:tc>
      </w:tr>
      <w:tr w14:paraId="40899149">
        <w:tblPrEx>
          <w:tblCellMar>
            <w:top w:w="0" w:type="dxa"/>
            <w:left w:w="108" w:type="dxa"/>
            <w:bottom w:w="0" w:type="dxa"/>
            <w:right w:w="108" w:type="dxa"/>
          </w:tblCellMar>
        </w:tblPrEx>
        <w:tc>
          <w:p w14:paraId="0B69F4D3">
            <w:pPr>
              <w:pStyle w:val="24"/>
              <w:jc w:val="left"/>
            </w:pPr>
            <w:r>
              <w:t>核验方式</w:t>
            </w:r>
          </w:p>
        </w:tc>
        <w:tc>
          <w:p w14:paraId="0CBFFF3F">
            <w:pPr>
              <w:pStyle w:val="24"/>
              <w:jc w:val="left"/>
            </w:pPr>
            <w:r>
              <w:t>单一方式或各自独立</w:t>
            </w:r>
          </w:p>
        </w:tc>
        <w:tc>
          <w:p w14:paraId="72928A36">
            <w:pPr>
              <w:pStyle w:val="24"/>
              <w:jc w:val="left"/>
            </w:pPr>
            <w:r>
              <w:t>统一核验调度引擎，支持人脸/二维码/NFC多模态切换和降级</w:t>
            </w:r>
          </w:p>
        </w:tc>
      </w:tr>
      <w:tr w14:paraId="59787095">
        <w:tblPrEx>
          <w:tblCellMar>
            <w:top w:w="0" w:type="dxa"/>
            <w:left w:w="108" w:type="dxa"/>
            <w:bottom w:w="0" w:type="dxa"/>
            <w:right w:w="108" w:type="dxa"/>
          </w:tblCellMar>
        </w:tblPrEx>
        <w:tc>
          <w:p w14:paraId="02BDD67A">
            <w:pPr>
              <w:pStyle w:val="24"/>
              <w:jc w:val="left"/>
            </w:pPr>
            <w:r>
              <w:t>梯控联动</w:t>
            </w:r>
          </w:p>
        </w:tc>
        <w:tc>
          <w:p w14:paraId="487B90A3">
            <w:pPr>
              <w:pStyle w:val="24"/>
              <w:jc w:val="left"/>
            </w:pPr>
            <w:r>
              <w:t>无或仅简单控制</w:t>
            </w:r>
          </w:p>
        </w:tc>
        <w:tc>
          <w:p w14:paraId="1E78E65C">
            <w:pPr>
              <w:pStyle w:val="24"/>
              <w:jc w:val="left"/>
            </w:pPr>
            <w:r>
              <w:t>DCS目的选层派梯，按权限自动派梯，支持无感通行</w:t>
            </w:r>
          </w:p>
        </w:tc>
      </w:tr>
      <w:tr w14:paraId="4133837C">
        <w:tblPrEx>
          <w:tblCellMar>
            <w:top w:w="0" w:type="dxa"/>
            <w:left w:w="108" w:type="dxa"/>
            <w:bottom w:w="0" w:type="dxa"/>
            <w:right w:w="108" w:type="dxa"/>
          </w:tblCellMar>
        </w:tblPrEx>
        <w:tc>
          <w:p w14:paraId="5CA37EDC">
            <w:pPr>
              <w:pStyle w:val="24"/>
              <w:jc w:val="left"/>
            </w:pPr>
            <w:r>
              <w:t>离线处理</w:t>
            </w:r>
          </w:p>
        </w:tc>
        <w:tc>
          <w:p w14:paraId="276E2445">
            <w:pPr>
              <w:pStyle w:val="24"/>
              <w:jc w:val="left"/>
            </w:pPr>
            <w:r>
              <w:t>无保障</w:t>
            </w:r>
          </w:p>
        </w:tc>
        <w:tc>
          <w:p w14:paraId="774D9ED9">
            <w:pPr>
              <w:pStyle w:val="24"/>
              <w:jc w:val="left"/>
            </w:pPr>
            <w:r>
              <w:t>边缘缓存+断点续传，设备离线恢复后权限自动补发</w:t>
            </w:r>
          </w:p>
        </w:tc>
      </w:tr>
    </w:tbl>
    <w:p w14:paraId="03716A5F">
      <w:r>
        <w:pict>
          <v:rect id="_x0000_i1029" o:spt="1" style="height:1.5pt;width:0pt;" coordsize="21600,21600" o:hr="t" o:hrstd="t" o:hralign="center">
            <v:path/>
            <v:fill focussize="0,0"/>
            <v:stroke/>
            <v:imagedata o:title=""/>
            <o:lock v:ext="edit"/>
            <w10:wrap type="none"/>
            <w10:anchorlock/>
          </v:rect>
        </w:pict>
      </w:r>
    </w:p>
    <w:p w14:paraId="7BDA8F2E">
      <w:pPr>
        <w:pStyle w:val="4"/>
      </w:pPr>
      <w:bookmarkStart w:id="10" w:name="五研发成果"/>
      <w:r>
        <w:t>五、研发成果</w:t>
      </w:r>
      <w:bookmarkEnd w:id="10"/>
    </w:p>
    <w:p w14:paraId="1CC52CD0">
      <w:pPr>
        <w:pStyle w:val="23"/>
      </w:pPr>
      <w:r>
        <w:t>（1）完成智能楼宇通行系统V1.0开发及部署，已提交软件著作权登记申请：智能楼宇通行系统 Buildingos.access V1.0（开发完成日期：2025年3月31日，登记申请提交日期：2026年4月，现审核中）；</w:t>
      </w:r>
    </w:p>
    <w:p w14:paraId="6E58E174">
      <w:pPr>
        <w:pStyle w:val="3"/>
      </w:pPr>
      <w:r>
        <w:t>（2）系统支持多模态通行核验调度、多品牌门禁/梯控设备统一接入与权限同步、门禁-梯控联动派梯等核心技术能力；</w:t>
      </w:r>
    </w:p>
    <w:p w14:paraId="5BE903D2">
      <w:pPr>
        <w:pStyle w:val="3"/>
      </w:pPr>
      <w:r>
        <w:t>（3）</w:t>
      </w:r>
      <w:r>
        <w:rPr>
          <w:highlight w:val="yellow"/>
        </w:rPr>
        <w:t>[其他技术指标和文档]</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4C734257"/>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1505</Words>
  <Characters>1590</Characters>
  <Lines>12</Lines>
  <Paragraphs>8</Paragraphs>
  <TotalTime>17</TotalTime>
  <ScaleCrop>false</ScaleCrop>
  <LinksUpToDate>false</LinksUpToDate>
  <CharactersWithSpaces>1608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2026-05-27T11:42:00Z</dcterms:created>
  <dc:creator>=</dc:creator>
  <cp:lastModifiedBy>=</cp:lastModifiedBy>
  <dcterms:modified xsi:type="dcterms:W3CDTF">2026-05-28T04:40:34Z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eyJoZGlkIjoiMDJkMTk1ZjliYzhjODM2ZjhlZWEyODgzY2E4NjkzOGQiLCJ1c2VySWQiOiIyNzg3MTM5OTYifQ==</vt:lpwstr>
  </property>
  <property fmtid="{D5CDD505-2E9C-101B-9397-08002B2CF9AE}" pid="3" name="KSOProductBuildVer">
    <vt:lpwstr>2052-12.1.0.26375</vt:lpwstr>
  </property>
  <property fmtid="{D5CDD505-2E9C-101B-9397-08002B2CF9AE}" pid="4" name="ICV">
    <vt:lpwstr>26B6449718954FF79A023B7A93DF4392_12</vt:lpwstr>
  </property>
</Properties>
</file>