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6"/>
      </w:pPr>
      <w:r>
        <w:rPr>
          <w:rFonts w:hint="eastAsia"/>
        </w:rPr>
        <w:t xml:space="preserve">目录</w:t>
      </w:r>
      <w:r>
        <w:t xml:space="preserve"> </w:t>
      </w:r>
      <w:r>
        <w:rPr>
          <w:rFonts w:hint="eastAsia"/>
        </w:rPr>
        <w:t xml:space="preserve">极企智能楼宇技术体系研发总体说明</w:t>
      </w:r>
    </w:p>
    <w:p>
      <w:pPr>
        <w:pStyle w:val="3"/>
      </w:pPr>
      <w:r>
        <w:rPr>
          <w:rFonts w:hint="eastAsia"/>
        </w:rPr>
        <w:t xml:space="preserve">一、研发总体情况</w:t>
      </w:r>
      <w:r>
        <w:t xml:space="preserve"> </w:t>
      </w:r>
      <w:r>
        <w:t xml:space="preserve">1.1 </w:t>
      </w:r>
      <w:r>
        <w:rPr>
          <w:rFonts w:hint="eastAsia"/>
        </w:rPr>
        <w:t xml:space="preserve">技术背景：智能楼宇的技术复杂度定位</w:t>
      </w:r>
      <w:r>
        <w:t xml:space="preserve"> </w:t>
      </w:r>
      <w:r>
        <w:t xml:space="preserve">1.2 </w:t>
      </w:r>
      <w:r>
        <w:rPr>
          <w:rFonts w:hint="eastAsia"/>
        </w:rPr>
        <w:t xml:space="preserve">项目研发团队与机制</w:t>
      </w:r>
      <w:r>
        <w:t xml:space="preserve"> </w:t>
      </w:r>
      <w:r>
        <w:t xml:space="preserve">1.3 </w:t>
      </w:r>
      <w:r>
        <w:rPr>
          <w:rFonts w:hint="eastAsia"/>
        </w:rPr>
        <w:t xml:space="preserve">6个项目的演进路径</w:t>
      </w:r>
    </w:p>
    <w:p>
      <w:pPr>
        <w:pStyle w:val="3"/>
      </w:pPr>
      <w:r>
        <w:rPr>
          <w:rFonts w:hint="eastAsia"/>
        </w:rPr>
        <w:t xml:space="preserve">二、为什么分立6个项目</w:t>
      </w:r>
      <w:r>
        <w:t xml:space="preserve"> </w:t>
      </w:r>
      <w:r>
        <w:t xml:space="preserve">2.1 </w:t>
      </w:r>
      <w:r>
        <w:rPr>
          <w:rFonts w:hint="eastAsia"/>
        </w:rPr>
        <w:t xml:space="preserve">各项目有独立的技术攻关方向</w:t>
      </w:r>
      <w:r>
        <w:t xml:space="preserve"> </w:t>
      </w:r>
      <w:r>
        <w:t xml:space="preserve">2.2 </w:t>
      </w:r>
      <w:r>
        <w:rPr>
          <w:rFonts w:hint="eastAsia"/>
        </w:rPr>
        <w:t xml:space="preserve">各项目的技术攻关是独立完成的</w:t>
      </w:r>
      <w:r>
        <w:t xml:space="preserve"> </w:t>
      </w:r>
      <w:r>
        <w:t xml:space="preserve">2.3 </w:t>
      </w:r>
      <w:r>
        <w:rPr>
          <w:rFonts w:hint="eastAsia"/>
        </w:rPr>
        <w:t xml:space="preserve">AIoT预研的启动背景</w:t>
      </w:r>
      <w:r>
        <w:t xml:space="preserve"> </w:t>
      </w:r>
      <w:r>
        <w:t xml:space="preserve">2.4 </w:t>
      </w:r>
      <w:r>
        <w:rPr>
          <w:rFonts w:hint="eastAsia"/>
        </w:rPr>
        <w:t xml:space="preserve">声明式逻辑流编排引擎的工业化改造</w:t>
      </w:r>
    </w:p>
    <w:p>
      <w:pPr>
        <w:pStyle w:val="3"/>
      </w:pPr>
      <w:r>
        <w:rPr>
          <w:rFonts w:hint="eastAsia"/>
        </w:rPr>
        <w:t xml:space="preserve">三、共享技术栈说明</w:t>
      </w:r>
    </w:p>
    <w:p>
      <w:pPr>
        <w:pStyle w:val="3"/>
      </w:pPr>
      <w:r>
        <w:rPr>
          <w:rFonts w:hint="eastAsia"/>
        </w:rPr>
        <w:t xml:space="preserve">四、5个应用系统之间的业务联动</w:t>
      </w:r>
    </w:p>
    <w:p>
      <w:pPr>
        <w:pStyle w:val="3"/>
      </w:pPr>
      <w:r>
        <w:rPr>
          <w:rFonts w:hint="eastAsia"/>
        </w:rPr>
        <w:t xml:space="preserve">五、5个应用系统与AIoT预研的技术关系</w:t>
      </w:r>
      <w:r>
        <w:t xml:space="preserve"> </w:t>
      </w:r>
      <w:r>
        <w:t xml:space="preserve">5.1 </w:t>
      </w:r>
      <w:r>
        <w:rPr>
          <w:rFonts w:hint="eastAsia"/>
        </w:rPr>
        <w:t xml:space="preserve">关系定位</w:t>
      </w:r>
      <w:r>
        <w:t xml:space="preserve"> </w:t>
      </w:r>
      <w:r>
        <w:t xml:space="preserve">5.2 </w:t>
      </w:r>
      <w:r>
        <w:rPr>
          <w:rFonts w:hint="eastAsia"/>
        </w:rPr>
        <w:t xml:space="preserve">AIoT预研的技术来源</w:t>
      </w:r>
      <w:r>
        <w:t xml:space="preserve"> </w:t>
      </w:r>
      <w:r>
        <w:t xml:space="preserve">5.3 </w:t>
      </w:r>
      <w:r>
        <w:rPr>
          <w:rFonts w:hint="eastAsia"/>
        </w:rPr>
        <w:t xml:space="preserve">AIoT预研的创新性</w:t>
      </w:r>
    </w:p>
    <w:p>
      <w:pPr>
        <w:pStyle w:val="3"/>
      </w:pPr>
      <w:r>
        <w:rPr>
          <w:rFonts w:hint="eastAsia"/>
        </w:rPr>
        <w:t xml:space="preserve">六、总结</w:t>
      </w:r>
    </w:p>
    <w:p>
      <w:pPr>
        <w:pStyle w:val="3"/>
      </w:pPr>
      <w:r>
        <w:rPr>
          <w:rFonts w:hint="eastAsia"/>
        </w:rPr>
        <w:t xml:space="preserve">极企智能楼宇技术体系研发总体说明</w:t>
      </w:r>
    </w:p>
    <w:p>
      <w:pPr>
        <w:pStyle w:val="3"/>
      </w:pPr>
      <w:r>
        <w:rPr>
          <w:rFonts w:hint="eastAsia"/>
        </w:rPr>
        <w:t xml:space="preserve">一、研发总体情况</w:t>
      </w:r>
    </w:p>
    <w:p>
      <w:pPr>
        <w:pStyle w:val="3"/>
      </w:pPr>
      <w:r>
        <w:rPr>
          <w:rFonts w:hint="eastAsia"/>
        </w:rPr>
        <w:t xml:space="preserve">成都极企科技有限公司围绕楼宇智能化领域，系统性开展了6项研发工作，形成了以Buildingos.ai为统一技术平台的智能楼宇全场景产品体系。</w:t>
      </w:r>
    </w:p>
    <w:p>
      <w:pPr>
        <w:pStyle w:val="3"/>
      </w:pPr>
      <w:r>
        <w:t xml:space="preserve">1.1 </w:t>
      </w:r>
      <w:r>
        <w:rPr>
          <w:rFonts w:hint="eastAsia"/>
        </w:rPr>
        <w:t xml:space="preserve">技术背景：智能楼宇的技术复杂度定位</w:t>
      </w:r>
    </w:p>
    <w:p>
      <w:pPr>
        <w:pStyle w:val="3"/>
      </w:pPr>
      <w:r>
        <w:rPr>
          <w:rFonts w:hint="eastAsia"/>
        </w:rPr>
        <w:t xml:space="preserve">智能楼宇（园区）系统在物联网应用谱系中属于复杂程度最高的类别之一。不同于智慧家庭的单户场景或智慧工厂的单一产线，智能楼宇系统不仅需对接海量传感器、控制器以及多种楼宇控制协议（BACnet、KNX、Modbus、DALI），还需与安防、能源管理、物业运营等业务IT系统深度集成。其异构协议集成复杂度、实时性要求与多角色并发访问的复杂度显著高于其他物联网应用领域。</w:t>
      </w:r>
    </w:p>
    <w:p>
      <w:pPr>
        <w:pStyle w:val="3"/>
      </w:pPr>
      <w:r>
        <w:rPr>
          <w:rFonts w:hint="eastAsia"/>
        </w:rPr>
        <w:t xml:space="preserve">以公司部署于杭州钱江世纪城望潮中心（杭州第二高</w:t>
      </w:r>
      <w:r>
        <w:t xml:space="preserve"> </w:t>
      </w:r>
      <w:r>
        <w:rPr>
          <w:rFonts w:hint="eastAsia"/>
        </w:rPr>
        <w:t xml:space="preserve">280米，吉利办公总部大楼、57层、总建筑面积12.5万平方米、IoT节点超150,000个）的BuildingOS平台为例：全楼接入照明（Modbus通断器/KNX通断器/Zigbee无线开关/DALI智能开关）、暖通空调（KNX控制器/Zigbee面板/空调网关）、环境感知（Modbus环境传感器/Zigbee无线传感器）、通行管理（道闸/楼层门禁/人脸识别子系统）、能源计量（Modbus电力传感器/智能电表）、垂直交通（电梯子系统）、末端执行（电动窗帘/电机）等7大类设备，瞬时消息吞吐峰值可达百万条/秒。该平台已于2024年4月上线，2025全年稳定运行，实现年均能耗降低28%、碳减排超1,200吨CO₂的可量化成果。望潮中心已获CTBUH</w:t>
      </w:r>
      <w:r>
        <w:t xml:space="preserve"> 2024 Award of </w:t>
      </w:r>
      <w:r>
        <w:rPr>
          <w:rFonts w:hint="eastAsia"/>
        </w:rPr>
        <w:t xml:space="preserve">Excellence（最佳高层建筑奖）、LEED</w:t>
      </w:r>
      <w:r>
        <w:t xml:space="preserve"> BD+C CS </w:t>
      </w:r>
      <w:r>
        <w:rPr>
          <w:rFonts w:hint="eastAsia"/>
        </w:rPr>
        <w:t xml:space="preserve">Silver认证，同时楼宇入住超过5000人。</w:t>
      </w:r>
    </w:p>
    <w:p>
      <w:pPr>
        <w:pStyle w:val="3"/>
      </w:pPr>
      <w:r>
        <w:rPr>
          <w:rFonts w:hint="eastAsia"/>
        </w:rPr>
        <w:t xml:space="preserve">在此背景下，公司于2024年初至2025年底，围绕智能楼宇的通行管理、访客管理、空间调度、设备控制、环境感知以及底层技术平台6个方向，系统性地开展了研发工作，全新构建了能支持大型楼宇场景的BuildingOS平台技术体系。</w:t>
      </w:r>
      <w:r>
        <w:t xml:space="preserve"> </w:t>
      </w:r>
      <w:r>
        <w:t xml:space="preserve">alt text</w:t>
      </w:r>
      <w:r>
        <w:t xml:space="preserve"> </w:t>
      </w:r>
      <w:r>
        <w:t xml:space="preserve">1.2 </w:t>
      </w:r>
      <w:r>
        <w:rPr>
          <w:rFonts w:hint="eastAsia"/>
        </w:rPr>
        <w:t xml:space="preserve">项目研发团队与机制</w:t>
      </w:r>
    </w:p>
    <w:p>
      <w:pPr>
        <w:pStyle w:val="3"/>
      </w:pPr>
      <w:r>
        <w:rPr>
          <w:rFonts w:hint="eastAsia"/>
        </w:rPr>
        <w:t xml:space="preserve">本项目由四川省”千人计划”专家、资深架构师何铮领衔，组建了由软硬件开发、算法研究、系统集成领域专业人才构成的专职研发团队。研发采取”场景+算法+工程”的闭环机制——场景驱动技术需求定义、算法攻关解决核心技术难题、工程实现将研究成果转化为可部署系统。何铮专家全流程参与从底层通信协议的语义抽象到上层AI决策算法的设计与评审，确保技术方案在架构层面的前瞻性与行业领先水平。</w:t>
      </w:r>
    </w:p>
    <w:p>
      <w:pPr>
        <w:pStyle w:val="3"/>
      </w:pPr>
      <w:r>
        <w:rPr>
          <w:rFonts w:hint="eastAsia"/>
        </w:rPr>
        <w:t xml:space="preserve">团队在楼宇物联网领域积累了丰富的理论研究和工程实践经验，已在杭州望潮中心（280米超高层、15万+</w:t>
      </w:r>
      <w:r>
        <w:t xml:space="preserve"> </w:t>
      </w:r>
      <w:r>
        <w:rPr>
          <w:rFonts w:hint="eastAsia"/>
        </w:rPr>
        <w:t xml:space="preserve">IoT节点）等标志性项目中完成技术验证，形成了”前沿研究→技术攻关→工程落地→规模化复制”的完整创新链条。</w:t>
      </w:r>
    </w:p>
    <w:p>
      <w:pPr>
        <w:pStyle w:val="3"/>
      </w:pPr>
      <w:r>
        <w:t xml:space="preserve">1.3 </w:t>
      </w:r>
      <w:r>
        <w:rPr>
          <w:rFonts w:hint="eastAsia"/>
        </w:rPr>
        <w:t xml:space="preserve">6个项目的演进路径</w:t>
      </w:r>
      <w:r>
        <w:t xml:space="preserve"> </w:t>
      </w:r>
      <w:r>
        <w:t xml:space="preserve">alt text</w:t>
      </w:r>
      <w:r>
        <w:t xml:space="preserve"> </w:t>
      </w:r>
      <w:r>
        <w:rPr>
          <w:rFonts w:hint="eastAsia"/>
        </w:rPr>
        <w:t xml:space="preserve">这次第一次将物联网应用项目和IT项目进行了完全的构架重构。所有业务端应用无论是否涉及物联网设备，都基于BuildingOS平台的新技术构架，通过领域设计（Domain-Driven</w:t>
      </w:r>
      <w:r>
        <w:t xml:space="preserve"> </w:t>
      </w:r>
      <w:r>
        <w:rPr>
          <w:rFonts w:hint="eastAsia"/>
        </w:rPr>
        <w:t xml:space="preserve">Design）实现业务逻辑的解耦和可扩展性，并通过微服务方式（独立项目立项）进行独立全新的同步演进而成。</w:t>
      </w:r>
    </w:p>
    <w:p>
      <w:pPr>
        <w:pStyle w:val="3"/>
      </w:pPr>
      <w:r>
        <w:rPr>
          <w:rFonts w:hint="eastAsia"/>
        </w:rPr>
        <w:t xml:space="preserve">6个研发项目并非”先建底座再建应用”的先后关系，而是并行推进、互相促进的演进过程：</w:t>
      </w:r>
    </w:p>
    <w:p>
      <w:pPr>
        <w:pStyle w:val="3"/>
      </w:pPr>
      <w:r>
        <w:rPr>
          <w:rFonts w:hint="eastAsia"/>
        </w:rPr>
        <w:t xml:space="preserve">阶段一（2024.1—2025.7）：5个应用系统并行研发</w:t>
      </w:r>
    </w:p>
    <w:p>
      <w:pPr>
        <w:pStyle w:val="3"/>
      </w:pPr>
      <w:r>
        <w:rPr>
          <w:rFonts w:hint="eastAsia"/>
        </w:rPr>
        <w:t xml:space="preserve">通行系统（2024.1）</w:t>
      </w:r>
      <w:r>
        <w:t xml:space="preserve"> </w:t>
      </w:r>
      <w:r>
        <w:rPr>
          <w:rFonts w:hint="eastAsia"/>
        </w:rPr>
        <w:t xml:space="preserve">访客系统（2024.3）</w:t>
      </w:r>
      <w:r>
        <w:t xml:space="preserve"> </w:t>
      </w:r>
      <w:r>
        <w:rPr>
          <w:rFonts w:hint="eastAsia"/>
        </w:rPr>
        <w:t xml:space="preserve">空间预约系统（2024.5）</w:t>
      </w:r>
      <w:r>
        <w:t xml:space="preserve"> </w:t>
      </w:r>
      <w:r>
        <w:rPr>
          <w:rFonts w:hint="eastAsia"/>
        </w:rPr>
        <w:t xml:space="preserve">会议室系统（2025.1）</w:t>
      </w:r>
      <w:r>
        <w:t xml:space="preserve"> </w:t>
      </w:r>
      <w:r>
        <w:rPr>
          <w:rFonts w:hint="eastAsia"/>
        </w:rPr>
        <w:t xml:space="preserve">卫生间系统（2025.2）</w:t>
      </w:r>
      <w:r>
        <w:t xml:space="preserve"> </w:t>
      </w:r>
      <w:r>
        <w:t xml:space="preserve">│ │ │ │ │</w:t>
      </w:r>
      <w:r>
        <w:t xml:space="preserve"> </w:t>
      </w:r>
      <w:r>
        <w:t xml:space="preserve">└──────────────────┴──────────────────┴────────────────────┴──────────────────┘</w:t>
      </w:r>
      <w:r>
        <w:t xml:space="preserve"> </w:t>
      </w:r>
      <w:r>
        <w:t xml:space="preserve">│</w:t>
      </w:r>
      <w:r>
        <w:t xml:space="preserve"> </w:t>
      </w:r>
      <w:r>
        <w:rPr>
          <w:rFonts w:hint="eastAsia"/>
        </w:rPr>
        <w:t xml:space="preserve">各自独立攻关本场景的技术问题</w:t>
      </w:r>
      <w:r>
        <w:t xml:space="preserve"> </w:t>
      </w:r>
      <w:r>
        <w:t xml:space="preserve">│</w:t>
      </w:r>
      <w:r>
        <w:t xml:space="preserve"> </w:t>
      </w:r>
      <w:r>
        <w:t xml:space="preserve">↓ </w:t>
      </w:r>
      <w:r>
        <w:rPr>
          <w:rFonts w:hint="eastAsia"/>
        </w:rPr>
        <w:t xml:space="preserve">开发过程中发现共性需求和重复工作：</w:t>
      </w:r>
      <w:r>
        <w:t xml:space="preserve"> </w:t>
      </w:r>
      <w:r>
        <w:t xml:space="preserve">· </w:t>
      </w:r>
      <w:r>
        <w:rPr>
          <w:rFonts w:hint="eastAsia"/>
        </w:rPr>
        <w:t xml:space="preserve">各系统分别实现设备对接，协议适配工作大量重复</w:t>
      </w:r>
      <w:r>
        <w:t xml:space="preserve"> </w:t>
      </w:r>
      <w:r>
        <w:t xml:space="preserve">· </w:t>
      </w:r>
      <w:r>
        <w:rPr>
          <w:rFonts w:hint="eastAsia"/>
        </w:rPr>
        <w:t xml:space="preserve">各系统数据格式和接口标准不统一，跨系统联动困难</w:t>
      </w:r>
      <w:r>
        <w:t xml:space="preserve"> </w:t>
      </w:r>
      <w:r>
        <w:t xml:space="preserve">· </w:t>
      </w:r>
      <w:r>
        <w:rPr>
          <w:rFonts w:hint="eastAsia"/>
        </w:rPr>
        <w:t xml:space="preserve">新增设备需在每个系统中分别开发适配逻辑</w:t>
      </w:r>
      <w:r>
        <w:t xml:space="preserve"> </w:t>
      </w:r>
      <w:r>
        <w:t xml:space="preserve">│</w:t>
      </w:r>
      <w:r>
        <w:t xml:space="preserve"> </w:t>
      </w:r>
      <w:r>
        <w:t xml:space="preserve">↓</w:t>
      </w:r>
      <w:r>
        <w:t xml:space="preserve"> </w:t>
      </w:r>
      <w:r>
        <w:rPr>
          <w:rFonts w:hint="eastAsia"/>
        </w:rPr>
        <w:t xml:space="preserve">阶段二（2025.8—2025.12）：AIoT底层技术预研</w:t>
      </w:r>
      <w:r>
        <w:t xml:space="preserve"> </w:t>
      </w:r>
      <w:r>
        <w:rPr>
          <w:rFonts w:hint="eastAsia"/>
        </w:rPr>
        <w:t xml:space="preserve">从5个系统的技术实践中提炼共性，研究设计：</w:t>
      </w:r>
      <w:r>
        <w:t xml:space="preserve"> </w:t>
      </w:r>
      <w:r>
        <w:t xml:space="preserve">· </w:t>
      </w:r>
      <w:r>
        <w:rPr>
          <w:rFonts w:hint="eastAsia"/>
        </w:rPr>
        <w:t xml:space="preserve">协议无关的统一指令抽象模型（解决7种异构协议的通信模型差异）</w:t>
      </w:r>
      <w:r>
        <w:t xml:space="preserve"> </w:t>
      </w:r>
      <w:r>
        <w:t xml:space="preserve">· </w:t>
      </w:r>
      <w:r>
        <w:rPr>
          <w:rFonts w:hint="eastAsia"/>
        </w:rPr>
        <w:t xml:space="preserve">跨系统统一数据交互规范与事件总线机制（替代逐对API对接）</w:t>
      </w:r>
      <w:r>
        <w:t xml:space="preserve"> </w:t>
      </w:r>
      <w:r>
        <w:t xml:space="preserve">· </w:t>
      </w:r>
      <w:r>
        <w:rPr>
          <w:rFonts w:hint="eastAsia"/>
        </w:rPr>
        <w:t xml:space="preserve">标准化设备接入流程（注册→认证→上报→指令→OTA）</w:t>
      </w:r>
      <w:r>
        <w:t xml:space="preserve"> </w:t>
      </w:r>
      <w:r>
        <w:t xml:space="preserve">· </w:t>
      </w:r>
      <w:r>
        <w:rPr>
          <w:rFonts w:hint="eastAsia"/>
        </w:rPr>
        <w:t xml:space="preserve">分层解耦分布式架构设计（支撑后续产品规模化部署）</w:t>
      </w:r>
      <w:r>
        <w:t xml:space="preserve"> </w:t>
      </w:r>
      <w:r>
        <w:t xml:space="preserve">│</w:t>
      </w:r>
      <w:r>
        <w:t xml:space="preserve"> </w:t>
      </w:r>
      <w:r>
        <w:t xml:space="preserve">↓</w:t>
      </w:r>
      <w:r>
        <w:t xml:space="preserve"> </w:t>
      </w:r>
      <w:r>
        <w:rPr>
          <w:rFonts w:hint="eastAsia"/>
        </w:rPr>
        <w:t xml:space="preserve">后续：5个系统基于统一框架持续迭代，新系统基于框架快速开发</w:t>
      </w:r>
    </w:p>
    <w:p>
      <w:pPr>
        <w:pStyle w:val="3"/>
      </w:pPr>
      <w:r>
        <w:rPr>
          <w:rFonts w:hint="eastAsia"/>
        </w:rPr>
        <w:t xml:space="preserve">二、为什么分立6个项目</w:t>
      </w:r>
    </w:p>
    <w:p>
      <w:pPr>
        <w:pStyle w:val="3"/>
      </w:pPr>
      <w:r>
        <w:t xml:space="preserve">2.1 </w:t>
      </w:r>
      <w:r>
        <w:rPr>
          <w:rFonts w:hint="eastAsia"/>
        </w:rPr>
        <w:t xml:space="preserve">各项目有独立的技术攻关方向</w:t>
      </w:r>
    </w:p>
    <w:p>
      <w:pPr>
        <w:pStyle w:val="3"/>
      </w:pPr>
      <w:r>
        <w:rPr>
          <w:rFonts w:hint="eastAsia"/>
        </w:rPr>
        <w:t xml:space="preserve">6个研发项目分立立项，是因为各项目面向不同的技术问题，具有不同的技术攻关方向：</w:t>
      </w:r>
    </w:p>
    <w:tbl>
      <w:tblPr>
        <w:tblStyle w:val="Table"/>
        <w:tblW w:type="pct" w:w="5000"/>
        <w:tblLayout w:type="fixed"/>
        <w:tblLook w:firstRow="1" w:lastRow="0" w:firstColumn="0" w:lastColumn="0" w:noHBand="0" w:noVBand="0" w:val="0020"/>
      </w:tblPr>
      <w:tblGrid>
        <w:gridCol w:w="1105"/>
        <w:gridCol w:w="1841"/>
        <w:gridCol w:w="3131"/>
        <w:gridCol w:w="1841"/>
      </w:tblGrid>
      <w:tr>
        <w:trPr>
          <w:tblHeader w:val="on"/>
        </w:trPr>
        <w:tc>
          <w:tcPr/>
          <w:p>
            <w:pPr>
              <w:pStyle w:val="27"/>
            </w:pPr>
            <w:r>
              <w:rPr>
                <w:rFonts w:hint="eastAsia"/>
              </w:rPr>
              <w:t xml:space="preserve">项目</w:t>
            </w:r>
          </w:p>
        </w:tc>
        <w:tc>
          <w:tcPr/>
          <w:p>
            <w:pPr>
              <w:pStyle w:val="27"/>
            </w:pPr>
            <w:r>
              <w:rPr>
                <w:rFonts w:hint="eastAsia"/>
              </w:rPr>
              <w:t xml:space="preserve">立项时间</w:t>
            </w:r>
          </w:p>
        </w:tc>
        <w:tc>
          <w:tcPr/>
          <w:p>
            <w:pPr>
              <w:pStyle w:val="27"/>
            </w:pPr>
            <w:r>
              <w:rPr>
                <w:rFonts w:hint="eastAsia"/>
              </w:rPr>
              <w:t xml:space="preserve">核心技术攻关方向</w:t>
            </w:r>
          </w:p>
        </w:tc>
        <w:tc>
          <w:tcPr/>
          <w:p>
            <w:pPr>
              <w:pStyle w:val="27"/>
            </w:pPr>
            <w:r>
              <w:rPr>
                <w:rFonts w:hint="eastAsia"/>
              </w:rPr>
              <w:t xml:space="preserve">技术领域</w:t>
            </w:r>
          </w:p>
        </w:tc>
      </w:tr>
      <w:tr>
        <w:tc>
          <w:tcPr/>
          <w:p>
            <w:pPr>
              <w:pStyle w:val="27"/>
            </w:pPr>
            <w:r>
              <w:rPr>
                <w:rFonts w:hint="eastAsia"/>
              </w:rPr>
              <w:t xml:space="preserve">通行系统</w:t>
            </w:r>
            <w:r>
              <w:t xml:space="preserve"> JQ2024001</w:t>
            </w:r>
          </w:p>
        </w:tc>
        <w:tc>
          <w:tcPr/>
          <w:p>
            <w:pPr>
              <w:pStyle w:val="27"/>
            </w:pPr>
            <w:r>
              <w:t xml:space="preserve">2024.1</w:t>
            </w:r>
          </w:p>
        </w:tc>
        <w:tc>
          <w:tcPr/>
          <w:p>
            <w:pPr>
              <w:pStyle w:val="27"/>
            </w:pPr>
            <w:r>
              <w:rPr>
                <w:rFonts w:hint="eastAsia"/>
              </w:rPr>
              <w:t xml:space="preserve">多模态通行核验调度引擎、多品牌门禁/梯控设备MQTT/HTTP/RS485协议独立适配与权限增量同步、门禁-梯控DCS联动派梯的时序控制</w:t>
            </w:r>
          </w:p>
        </w:tc>
        <w:tc>
          <w:tcPr/>
          <w:p>
            <w:pPr>
              <w:pStyle w:val="27"/>
            </w:pPr>
            <w:r>
              <w:rPr>
                <w:rFonts w:hint="eastAsia"/>
              </w:rPr>
              <w:t xml:space="preserve">安防通行技术</w:t>
            </w:r>
          </w:p>
        </w:tc>
      </w:tr>
      <w:tr>
        <w:tc>
          <w:tcPr/>
          <w:p>
            <w:pPr>
              <w:pStyle w:val="27"/>
            </w:pPr>
            <w:r>
              <w:rPr>
                <w:rFonts w:hint="eastAsia"/>
              </w:rPr>
              <w:t xml:space="preserve">访客系统</w:t>
            </w:r>
            <w:r>
              <w:t xml:space="preserve"> JQ2024002</w:t>
            </w:r>
          </w:p>
        </w:tc>
        <w:tc>
          <w:tcPr/>
          <w:p>
            <w:pPr>
              <w:pStyle w:val="27"/>
            </w:pPr>
            <w:r>
              <w:t xml:space="preserve">2024.3</w:t>
            </w:r>
          </w:p>
        </w:tc>
        <w:tc>
          <w:tcPr/>
          <w:p>
            <w:pPr>
              <w:pStyle w:val="27"/>
            </w:pPr>
            <w:r>
              <w:rPr>
                <w:rFonts w:hint="eastAsia"/>
              </w:rPr>
              <w:t xml:space="preserve">临时通行权限全生命周期安全闭环管控（分布式一致性问题）、动态防伪二维码凭证机制（时效性+一次性核销）、OCR证件识别与人证比对核验</w:t>
            </w:r>
          </w:p>
        </w:tc>
        <w:tc>
          <w:tcPr/>
          <w:p>
            <w:pPr>
              <w:pStyle w:val="27"/>
            </w:pPr>
            <w:r>
              <w:rPr>
                <w:rFonts w:hint="eastAsia"/>
              </w:rPr>
              <w:t xml:space="preserve">临时权限安全技术</w:t>
            </w:r>
          </w:p>
        </w:tc>
      </w:tr>
      <w:tr>
        <w:tc>
          <w:tcPr/>
          <w:p>
            <w:pPr>
              <w:pStyle w:val="27"/>
            </w:pPr>
            <w:r>
              <w:rPr>
                <w:rFonts w:hint="eastAsia"/>
              </w:rPr>
              <w:t xml:space="preserve">空间预约系统</w:t>
            </w:r>
            <w:r>
              <w:t xml:space="preserve"> JQ2024003</w:t>
            </w:r>
          </w:p>
        </w:tc>
        <w:tc>
          <w:tcPr/>
          <w:p>
            <w:pPr>
              <w:pStyle w:val="27"/>
            </w:pPr>
            <w:r>
              <w:t xml:space="preserve">2024.5</w:t>
            </w:r>
          </w:p>
        </w:tc>
        <w:tc>
          <w:tcPr/>
          <w:p>
            <w:pPr>
              <w:pStyle w:val="27"/>
            </w:pPr>
            <w:r>
              <w:rPr>
                <w:rFonts w:hint="eastAsia"/>
              </w:rPr>
              <w:t xml:space="preserve">空间数字化建模与可视化编辑（WebGL</w:t>
            </w:r>
            <w:r>
              <w:t xml:space="preserve"> </w:t>
            </w:r>
            <w:r>
              <w:rPr>
                <w:rFonts w:hint="eastAsia"/>
              </w:rPr>
              <w:t xml:space="preserve">2.5D渲染）、基于时空约束的AI智能排程算法（多维约束条件下最优解搜索——动态识别资源冲突并自动调优，非简单的数据库时间排查）、IoT传感器联动空间状态感知</w:t>
            </w:r>
          </w:p>
        </w:tc>
        <w:tc>
          <w:tcPr/>
          <w:p>
            <w:pPr>
              <w:pStyle w:val="27"/>
            </w:pPr>
            <w:r>
              <w:rPr>
                <w:rFonts w:hint="eastAsia"/>
              </w:rPr>
              <w:t xml:space="preserve">空间资源调度技术</w:t>
            </w:r>
          </w:p>
        </w:tc>
      </w:tr>
      <w:tr>
        <w:tc>
          <w:tcPr/>
          <w:p>
            <w:pPr>
              <w:pStyle w:val="27"/>
            </w:pPr>
            <w:r>
              <w:rPr>
                <w:rFonts w:hint="eastAsia"/>
              </w:rPr>
              <w:t xml:space="preserve">会议室系统</w:t>
            </w:r>
            <w:r>
              <w:t xml:space="preserve"> JQ2025001</w:t>
            </w:r>
          </w:p>
        </w:tc>
        <w:tc>
          <w:tcPr/>
          <w:p>
            <w:pPr>
              <w:pStyle w:val="27"/>
            </w:pPr>
            <w:r>
              <w:t xml:space="preserve">2025.1</w:t>
            </w:r>
          </w:p>
        </w:tc>
        <w:tc>
          <w:tcPr/>
          <w:p>
            <w:pPr>
              <w:pStyle w:val="27"/>
            </w:pPr>
            <w:r>
              <w:rPr>
                <w:rFonts w:hint="eastAsia"/>
              </w:rPr>
              <w:t xml:space="preserve">BACnet/Modbus/DALI/KNX四协议设备联动控制、RS232/HTTP音视频中控集成（视频矩阵+PTZ摄像头+音频DSP）、预约-签到-设备联动全链路事件驱动自动化</w:t>
            </w:r>
          </w:p>
        </w:tc>
        <w:tc>
          <w:tcPr/>
          <w:p>
            <w:pPr>
              <w:pStyle w:val="27"/>
            </w:pPr>
            <w:r>
              <w:rPr>
                <w:rFonts w:hint="eastAsia"/>
              </w:rPr>
              <w:t xml:space="preserve">楼宇设备控制技术</w:t>
            </w:r>
          </w:p>
        </w:tc>
      </w:tr>
      <w:tr>
        <w:tc>
          <w:tcPr/>
          <w:p>
            <w:pPr>
              <w:pStyle w:val="27"/>
            </w:pPr>
            <w:r>
              <w:rPr>
                <w:rFonts w:hint="eastAsia"/>
              </w:rPr>
              <w:t xml:space="preserve">卫生间系统</w:t>
            </w:r>
            <w:r>
              <w:t xml:space="preserve"> JQ2025002</w:t>
            </w:r>
          </w:p>
        </w:tc>
        <w:tc>
          <w:tcPr/>
          <w:p>
            <w:pPr>
              <w:pStyle w:val="27"/>
            </w:pPr>
            <w:r>
              <w:t xml:space="preserve">2025.2</w:t>
            </w:r>
          </w:p>
        </w:tc>
        <w:tc>
          <w:tcPr/>
          <w:p>
            <w:pPr>
              <w:pStyle w:val="27"/>
            </w:pPr>
            <w:r>
              <w:rPr>
                <w:rFonts w:hint="eastAsia"/>
              </w:rPr>
              <w:t xml:space="preserve">多源异构传感器统一接入（Modbus/RS485/LoRa/Zigbee/NB-IoT五种协议）、多模态感知数据融合的AI诊断引擎（利用机器学习方法对多传感器数据进行长周期趋势分析，实现对设备漂移、故障与环境异常的智能识别——非简单的单阈值判断）、边缘端轻量化实时处理（边缘预判+云端精判分层架构）</w:t>
            </w:r>
          </w:p>
        </w:tc>
        <w:tc>
          <w:tcPr/>
          <w:p>
            <w:pPr>
              <w:pStyle w:val="27"/>
            </w:pPr>
            <w:r>
              <w:rPr>
                <w:rFonts w:hint="eastAsia"/>
              </w:rPr>
              <w:t xml:space="preserve">物联网感知技术</w:t>
            </w:r>
          </w:p>
        </w:tc>
      </w:tr>
      <w:tr>
        <w:tc>
          <w:tcPr/>
          <w:p>
            <w:pPr>
              <w:pStyle w:val="27"/>
            </w:pPr>
            <w:r>
              <w:rPr>
                <w:rFonts w:hint="eastAsia"/>
              </w:rPr>
              <w:t xml:space="preserve">AIoT底层预研</w:t>
            </w:r>
            <w:r>
              <w:t xml:space="preserve"> JQ2025005</w:t>
            </w:r>
          </w:p>
        </w:tc>
        <w:tc>
          <w:tcPr/>
          <w:p>
            <w:pPr>
              <w:pStyle w:val="27"/>
            </w:pPr>
            <w:r>
              <w:t xml:space="preserve">2025.8</w:t>
            </w:r>
          </w:p>
        </w:tc>
        <w:tc>
          <w:tcPr/>
          <w:p>
            <w:pPr>
              <w:pStyle w:val="27"/>
            </w:pPr>
            <w:r>
              <w:rPr>
                <w:rFonts w:hint="eastAsia"/>
              </w:rPr>
              <w:t xml:space="preserve">从5个系统中提炼共性技术需求，研究设计协议无关的统一指令抽象模型——核心为自适应语义映射算法：通过语义转换算子，将7种异构协议（MQTT/HTTP/RS485/BACnet/DALI/KNX/Modbus）的底层数据实时转化为高层统一的控制逻辑，实现统一寻址、统一编解码、统一操作语义；以及声明式逻辑流编排引擎的工业化改造（基于Flow-based</w:t>
            </w:r>
            <w:r>
              <w:t xml:space="preserve"> </w:t>
            </w:r>
            <w:r>
              <w:rPr>
                <w:rFonts w:hint="eastAsia"/>
              </w:rPr>
              <w:t xml:space="preserve">Programming范式，将楼宇控制逻辑从硬编码中剥离为可热更新的逻辑资产）</w:t>
            </w:r>
          </w:p>
        </w:tc>
        <w:tc>
          <w:tcPr/>
          <w:p>
            <w:pPr>
              <w:pStyle w:val="27"/>
            </w:pPr>
            <w:r>
              <w:rPr>
                <w:rFonts w:hint="eastAsia"/>
              </w:rPr>
              <w:t xml:space="preserve">基础平台技术</w:t>
            </w:r>
          </w:p>
        </w:tc>
      </w:tr>
    </w:tbl>
    <w:p>
      <w:pPr>
        <w:pStyle w:val="3"/>
      </w:pPr>
      <w:r>
        <w:t xml:space="preserve">2.2 </w:t>
      </w:r>
      <w:r>
        <w:rPr>
          <w:rFonts w:hint="eastAsia"/>
        </w:rPr>
        <w:t xml:space="preserve">各项目的技术攻关是独立完成的</w:t>
      </w:r>
    </w:p>
    <w:p>
      <w:pPr>
        <w:pStyle w:val="3"/>
      </w:pPr>
      <w:r>
        <w:rPr>
          <w:rFonts w:hint="eastAsia"/>
        </w:rPr>
        <w:t xml:space="preserve">阶段一的5个应用系统，各自独立完成了本场景的技术攻关工作。具体而言：</w:t>
      </w:r>
    </w:p>
    <w:p>
      <w:pPr>
        <w:pStyle w:val="3"/>
      </w:pPr>
      <w:r>
        <w:rPr>
          <w:rFonts w:hint="eastAsia"/>
        </w:rPr>
        <w:t xml:space="preserve">通行系统独立开发了门禁/梯控设备的MQTT/HTTP/RS485协议适配逻辑、多模态核验调度引擎（人脸/二维码/NFC统一Pipeline）、权限增量同步机制（差集计算+确认重试+边缘缓存断点续传）和DCS目的选层联动派梯方案；</w:t>
      </w:r>
    </w:p>
    <w:p>
      <w:pPr>
        <w:pStyle w:val="3"/>
      </w:pPr>
      <w:r>
        <w:rPr>
          <w:rFonts w:hint="eastAsia"/>
        </w:rPr>
        <w:t xml:space="preserve">访客系统独立开发了临时权限全生命周期管控方案（事件驱动+确认重试+到期校验双保险机制）、动态二维码凭证机制（加密凭证+时效校验+一次性核销）、OCR证件识别与人证比对核验集成、访客全流程状态机（待到访→已到访→已离场/已失效）与通行轨迹审计；</w:t>
      </w:r>
    </w:p>
    <w:p>
      <w:pPr>
        <w:pStyle w:val="3"/>
      </w:pPr>
      <w:r>
        <w:rPr>
          <w:rFonts w:hint="eastAsia"/>
        </w:rPr>
        <w:t xml:space="preserve">空间预约系统独立开发了空间数字化建模引擎（底图层+组件层+属性层+渲染层四层架构）、多维约束冲突检测算法（时间→容量→规则→设施分步校验）、IoT传感器联动空间状态感知方案（预约数据+传感器感知+行为推断多源融合）；</w:t>
      </w:r>
    </w:p>
    <w:p>
      <w:pPr>
        <w:pStyle w:val="3"/>
      </w:pPr>
      <w:r>
        <w:rPr>
          <w:rFonts w:hint="eastAsia"/>
        </w:rPr>
        <w:t xml:space="preserve">会议室系统独立开发了BACnet/DALI/KNX/Modbus四种楼宇控制协议的设备联动控制方案、音视频中控集成方案（视频矩阵RS232控制/PTZ摄像头云台控制/音频DSP参数调节）、场景规则引擎及预约-签到-设备联动全链路事件驱动状态机；</w:t>
      </w:r>
    </w:p>
    <w:p>
      <w:pPr>
        <w:pStyle w:val="3"/>
      </w:pPr>
      <w:r>
        <w:rPr>
          <w:rFonts w:hint="eastAsia"/>
        </w:rPr>
        <w:t xml:space="preserve">卫生间系统独立开发了多源异构传感器统一接入方案（Modbus/RS485有线+LoRa/Zigbee/NB-IoT无线多协议适配）、多维数据融合研判规则引擎（时序关联+多条件组合+根因分析）、边缘端轻量化实时处理方案（边缘预判+云端精判分层架构+网络中断本地缓存）。</w:t>
      </w:r>
    </w:p>
    <w:p>
      <w:pPr>
        <w:pStyle w:val="3"/>
      </w:pPr>
      <w:r>
        <w:rPr>
          <w:rFonts w:hint="eastAsia"/>
        </w:rPr>
        <w:t xml:space="preserve">各系统的设备对接、协议适配、数据交互是在各自项目范围内独立实现的，不存在”使用其他项目已有技术框架”的情况——因为在2025年8月之前，尚无统一的AIoT技术框架。</w:t>
      </w:r>
    </w:p>
    <w:p>
      <w:pPr>
        <w:pStyle w:val="3"/>
      </w:pPr>
      <w:r>
        <w:t xml:space="preserve">2.3 </w:t>
      </w:r>
      <w:r>
        <w:rPr>
          <w:rFonts w:hint="eastAsia"/>
        </w:rPr>
        <w:t xml:space="preserve">AIoT预研的启动背景</w:t>
      </w:r>
    </w:p>
    <w:p>
      <w:pPr>
        <w:pStyle w:val="3"/>
      </w:pPr>
      <w:r>
        <w:rPr>
          <w:rFonts w:hint="eastAsia"/>
        </w:rPr>
        <w:t xml:space="preserve">在5个应用系统并行推进过程中，公司发现以下共性技术问题日益突出：</w:t>
      </w:r>
    </w:p>
    <w:p>
      <w:pPr>
        <w:pStyle w:val="3"/>
      </w:pPr>
      <w:r>
        <w:rPr>
          <w:rFonts w:hint="eastAsia"/>
        </w:rPr>
        <w:t xml:space="preserve">（1）设备适配工作大量重复：通行系统独立开发了门禁/梯控的MQTT/HTTP/RS485适配逻辑（涉及十几种品牌设备），会议室系统独立开发了BACnet/DALI/KNX/Modbus四种协议的适配逻辑（涉及8种品牌设备），卫生间系统独立开发了Modbus/RS485/LoRa/Zigbee/NB-IoT五种协议的适配逻辑（涉及14种传感器类型）。各系统各自实现，代码不可复用。新增一种设备类型需在每个相关系统中分别开发适配逻辑，周期长、维护成本高；</w:t>
      </w:r>
    </w:p>
    <w:p>
      <w:pPr>
        <w:pStyle w:val="3"/>
      </w:pPr>
      <w:r>
        <w:rPr>
          <w:rFonts w:hint="eastAsia"/>
        </w:rPr>
        <w:t xml:space="preserve">（2）跨系统数据无法标准互通：5个系统各自定义数据格式和接口标准，实现跨系统联动（如访客审批→门禁权限下发、会议预约→门禁权限联动）时需逐对做API定制对接，开发效率低、维护成本随系统数量增加呈指数增长；</w:t>
      </w:r>
    </w:p>
    <w:p>
      <w:pPr>
        <w:pStyle w:val="3"/>
      </w:pPr>
      <w:r>
        <w:rPr>
          <w:rFonts w:hint="eastAsia"/>
        </w:rPr>
        <w:t xml:space="preserve">（3）新系统开发效率低：每开发一个新系统，设备接入、协议适配等基础工作都需要从零开始，无法基于已有的技术积累快速启动，制约了公司产品线的扩展速度。</w:t>
      </w:r>
    </w:p>
    <w:p>
      <w:pPr>
        <w:pStyle w:val="3"/>
      </w:pPr>
      <w:r>
        <w:rPr>
          <w:rFonts w:hint="eastAsia"/>
        </w:rPr>
        <w:t xml:space="preserve">为解决上述问题，公司于2025年8月启动AIoT底层技术预研（JQ2025005），从5个系统的技术实践中提炼共性需求，研究设计统一的技术框架和标准规范，使后续产品迭代和新系统开发可以基于统一框架进行，避免重复开发。</w:t>
      </w:r>
    </w:p>
    <w:p>
      <w:pPr>
        <w:pStyle w:val="3"/>
      </w:pPr>
      <w:r>
        <w:t xml:space="preserve">2.4 </w:t>
      </w:r>
      <w:r>
        <w:rPr>
          <w:rFonts w:hint="eastAsia"/>
        </w:rPr>
        <w:t xml:space="preserve">声明式逻辑流编排引擎的工业化改造</w:t>
      </w:r>
    </w:p>
    <w:p>
      <w:pPr>
        <w:pStyle w:val="3"/>
      </w:pPr>
      <w:r>
        <w:rPr>
          <w:rFonts w:hint="eastAsia"/>
        </w:rPr>
        <w:t xml:space="preserve">除上述6个项目各自的技术攻关方向外，公司在楼宇自动化领域的另一项核心创新成果是”声明式逻辑流编排引擎”的工业化改造。传统楼宇自控系统的控制逻辑以硬编码方式嵌入在DDC控制器或后端服务代码中——修改一条场景策略（如调整会议室灯光的延时关闭阈值）需要修改源代码、重新编译、停机部署，响应周期以天甚至周计。公司基于流式逻辑编程模型（Flow-based</w:t>
      </w:r>
      <w:r>
        <w:t xml:space="preserve"> </w:t>
      </w:r>
      <w:r>
        <w:rPr>
          <w:rFonts w:hint="eastAsia"/>
        </w:rPr>
        <w:t xml:space="preserve">Programming），自主研发了面向楼宇工业级场景的流式逻辑编排引擎，实现了以下核心突破：</w:t>
      </w:r>
    </w:p>
    <w:p>
      <w:pPr>
        <w:pStyle w:val="3"/>
      </w:pPr>
      <w:r>
        <w:rPr>
          <w:rFonts w:hint="eastAsia"/>
        </w:rPr>
        <w:t xml:space="preserve">（1）硬编码逻辑向声明式逻辑资产的转变：将楼宇控制策略从过程式代码中剥离，建模为声明式的”流（Flow）</w:t>
      </w:r>
      <w:r>
        <w:rPr>
          <w:rFonts w:hint="eastAsia"/>
        </w:rPr>
        <w:t xml:space="preserve">“——每个Flow由标准化的功能节点（传感器数据采集→条件判断→设备指令下发）通过可视化连线组合而成。策略配置人员无需编写代码，通过拖拽和参数配置即可创建和修改控制逻辑。这一转变使控制策略从”</w:t>
      </w:r>
      <w:r>
        <w:rPr>
          <w:rFonts w:hint="eastAsia"/>
        </w:rPr>
        <w:t xml:space="preserve">代码级资产”升级为”逻辑级资产”，可独立于代码版本进行管理、测试和复用；</w:t>
      </w:r>
    </w:p>
    <w:p>
      <w:pPr>
        <w:pStyle w:val="3"/>
      </w:pPr>
      <w:r>
        <w:rPr>
          <w:rFonts w:hint="eastAsia"/>
        </w:rPr>
        <w:t xml:space="preserve">（2）热更新部署：控制逻辑的变更（如新增一条节能策略、调整空调预冷时间参数）可在系统不停机的情况下在线部署和即时生效——通过云端Node-RED实例的Flow推送机制，策略变更秒级同步至边缘网关，无需重启服务；</w:t>
      </w:r>
    </w:p>
    <w:p>
      <w:pPr>
        <w:pStyle w:val="3"/>
      </w:pPr>
      <w:r>
        <w:rPr>
          <w:rFonts w:hint="eastAsia"/>
        </w:rPr>
        <w:t xml:space="preserve">（3）模块化复用与全球生态对接：每个控制策略的逻辑流程和最佳实践可封装为标准化的”Flow模板”，在新项目中一键导入复用，加速项目交付。同时，通过Node-RED的Node.js全球库生态（超过5,000个社区贡献节点），平台可直接对接工业协议（Modbus/BACnet/KNX/OPC</w:t>
      </w:r>
      <w:r>
        <w:t xml:space="preserve"> </w:t>
      </w:r>
      <w:r>
        <w:rPr>
          <w:rFonts w:hint="eastAsia"/>
        </w:rPr>
        <w:t xml:space="preserve">UA/MQTT）、人工智能框架（TensorFlow/PyTorch模型推理节点、视觉AI分析节点）、云端API和数据库，使BuildingOS具备持续接入全球新技术成果的扩展能力——这是传统楼宇厂商封闭系统无法实现的差异化优势。</w:t>
      </w:r>
    </w:p>
    <w:p>
      <w:pPr>
        <w:pStyle w:val="3"/>
      </w:pPr>
      <w:r>
        <w:rPr>
          <w:rFonts w:hint="eastAsia"/>
        </w:rPr>
        <w:t xml:space="preserve">该编排引擎已在5个应用系统和望潮中心项目中全面应用，所有场景策略（照明/空调/通行/会议室/卫生间/节能）均以声明式Flow方式定义和管理，策略变更的平均响应周期从传统硬编码方式的数天缩短至分钟级。这一成果是极企在楼宇自动化领域区别于传统厂商（西门子Desigo</w:t>
      </w:r>
      <w:r>
        <w:t xml:space="preserve"> </w:t>
      </w:r>
      <w:r>
        <w:rPr>
          <w:rFonts w:hint="eastAsia"/>
        </w:rPr>
        <w:t xml:space="preserve">CC、霍尼韦尔EBI、江森Metasys等封闭式BAS系统）的核心创新点。</w:t>
      </w:r>
    </w:p>
    <w:p>
      <w:pPr>
        <w:pStyle w:val="3"/>
      </w:pPr>
      <w:r>
        <w:rPr>
          <w:rFonts w:hint="eastAsia"/>
        </w:rPr>
        <w:t xml:space="preserve">三、共享技术栈说明</w:t>
      </w:r>
    </w:p>
    <w:p>
      <w:pPr>
        <w:pStyle w:val="3"/>
      </w:pPr>
      <w:r>
        <w:rPr>
          <w:rFonts w:hint="eastAsia"/>
        </w:rPr>
        <w:t xml:space="preserve">5个应用系统采用统一技术栈，各组件均为成熟的开源技术，不属于研发内容：</w:t>
      </w:r>
    </w:p>
    <w:tbl>
      <w:tblPr>
        <w:tblStyle w:val="Table"/>
        <w:tblW w:type="pct" w:w="5000"/>
        <w:tblLayout w:type="fixed"/>
        <w:tblLook w:firstRow="1" w:lastRow="0" w:firstColumn="0" w:lastColumn="0" w:noHBand="0" w:noVBand="0" w:val="0020"/>
      </w:tblPr>
      <w:tblGrid>
        <w:gridCol w:w="2554"/>
        <w:gridCol w:w="1532"/>
        <w:gridCol w:w="3832"/>
      </w:tblGrid>
      <w:tr>
        <w:trPr>
          <w:tblHeader w:val="on"/>
        </w:trPr>
        <w:tc>
          <w:tcPr/>
          <w:p>
            <w:pPr>
              <w:pStyle w:val="27"/>
            </w:pPr>
            <w:r>
              <w:rPr>
                <w:rFonts w:hint="eastAsia"/>
              </w:rPr>
              <w:t xml:space="preserve">技术组件</w:t>
            </w:r>
          </w:p>
        </w:tc>
        <w:tc>
          <w:tcPr/>
          <w:p>
            <w:pPr>
              <w:pStyle w:val="27"/>
            </w:pPr>
            <w:r>
              <w:rPr>
                <w:rFonts w:hint="eastAsia"/>
              </w:rPr>
              <w:t xml:space="preserve">用途</w:t>
            </w:r>
          </w:p>
        </w:tc>
        <w:tc>
          <w:tcPr/>
          <w:p>
            <w:pPr>
              <w:pStyle w:val="27"/>
            </w:pPr>
            <w:r>
              <w:rPr>
                <w:rFonts w:hint="eastAsia"/>
              </w:rPr>
              <w:t xml:space="preserve">是否为研发内容</w:t>
            </w:r>
          </w:p>
        </w:tc>
      </w:tr>
      <w:tr>
        <w:tc>
          <w:tcPr/>
          <w:p>
            <w:pPr>
              <w:pStyle w:val="27"/>
            </w:pPr>
            <w:r>
              <w:t xml:space="preserve">Vue3</w:t>
            </w:r>
          </w:p>
        </w:tc>
        <w:tc>
          <w:tcPr/>
          <w:p>
            <w:pPr>
              <w:pStyle w:val="27"/>
            </w:pPr>
            <w:r>
              <w:rPr>
                <w:rFonts w:hint="eastAsia"/>
              </w:rPr>
              <w:t xml:space="preserve">前端响应式框架</w:t>
            </w:r>
          </w:p>
        </w:tc>
        <w:tc>
          <w:tcPr/>
          <w:p>
            <w:pPr>
              <w:pStyle w:val="27"/>
            </w:pPr>
            <w:r>
              <w:rPr>
                <w:rFonts w:hint="eastAsia"/>
              </w:rPr>
              <w:t xml:space="preserve">否（成熟开源前端框架）</w:t>
            </w:r>
          </w:p>
        </w:tc>
      </w:tr>
      <w:tr>
        <w:tc>
          <w:tcPr/>
          <w:p>
            <w:pPr>
              <w:pStyle w:val="27"/>
            </w:pPr>
            <w:r>
              <w:t xml:space="preserve">NestJS + TypeScript</w:t>
            </w:r>
          </w:p>
        </w:tc>
        <w:tc>
          <w:tcPr/>
          <w:p>
            <w:pPr>
              <w:pStyle w:val="27"/>
            </w:pPr>
            <w:r>
              <w:rPr>
                <w:rFonts w:hint="eastAsia"/>
              </w:rPr>
              <w:t xml:space="preserve">后端微服务框架</w:t>
            </w:r>
          </w:p>
        </w:tc>
        <w:tc>
          <w:tcPr/>
          <w:p>
            <w:pPr>
              <w:pStyle w:val="27"/>
            </w:pPr>
            <w:r>
              <w:rPr>
                <w:rFonts w:hint="eastAsia"/>
              </w:rPr>
              <w:t xml:space="preserve">否（成熟开源Node.js框架）</w:t>
            </w:r>
          </w:p>
        </w:tc>
      </w:tr>
      <w:tr>
        <w:tc>
          <w:tcPr/>
          <w:p>
            <w:pPr>
              <w:pStyle w:val="27"/>
            </w:pPr>
            <w:r>
              <w:t xml:space="preserve">PostgreSQL</w:t>
            </w:r>
          </w:p>
        </w:tc>
        <w:tc>
          <w:tcPr/>
          <w:p>
            <w:pPr>
              <w:pStyle w:val="27"/>
            </w:pPr>
            <w:r>
              <w:rPr>
                <w:rFonts w:hint="eastAsia"/>
              </w:rPr>
              <w:t xml:space="preserve">业务数据关系型存储</w:t>
            </w:r>
          </w:p>
        </w:tc>
        <w:tc>
          <w:tcPr/>
          <w:p>
            <w:pPr>
              <w:pStyle w:val="27"/>
            </w:pPr>
            <w:r>
              <w:rPr>
                <w:rFonts w:hint="eastAsia"/>
              </w:rPr>
              <w:t xml:space="preserve">否（成熟开源关系型数据库）</w:t>
            </w:r>
          </w:p>
        </w:tc>
      </w:tr>
      <w:tr>
        <w:tc>
          <w:tcPr/>
          <w:p>
            <w:pPr>
              <w:pStyle w:val="27"/>
            </w:pPr>
            <w:r>
              <w:t xml:space="preserve">Redis</w:t>
            </w:r>
          </w:p>
        </w:tc>
        <w:tc>
          <w:tcPr/>
          <w:p>
            <w:pPr>
              <w:pStyle w:val="27"/>
            </w:pPr>
            <w:r>
              <w:rPr>
                <w:rFonts w:hint="eastAsia"/>
              </w:rPr>
              <w:t xml:space="preserve">内存缓存与实时状态</w:t>
            </w:r>
          </w:p>
        </w:tc>
        <w:tc>
          <w:tcPr/>
          <w:p>
            <w:pPr>
              <w:pStyle w:val="27"/>
            </w:pPr>
            <w:r>
              <w:rPr>
                <w:rFonts w:hint="eastAsia"/>
              </w:rPr>
              <w:t xml:space="preserve">否（成熟开源内存数据库）</w:t>
            </w:r>
          </w:p>
        </w:tc>
      </w:tr>
      <w:tr>
        <w:tc>
          <w:tcPr/>
          <w:p>
            <w:pPr>
              <w:pStyle w:val="27"/>
            </w:pPr>
            <w:r>
              <w:t xml:space="preserve">TDengine</w:t>
            </w:r>
          </w:p>
        </w:tc>
        <w:tc>
          <w:tcPr/>
          <w:p>
            <w:pPr>
              <w:pStyle w:val="27"/>
            </w:pPr>
            <w:r>
              <w:rPr>
                <w:rFonts w:hint="eastAsia"/>
              </w:rPr>
              <w:t xml:space="preserve">时序数据存储（设备上报/环境监测）</w:t>
            </w:r>
          </w:p>
        </w:tc>
        <w:tc>
          <w:tcPr/>
          <w:p>
            <w:pPr>
              <w:pStyle w:val="27"/>
            </w:pPr>
            <w:r>
              <w:rPr>
                <w:rFonts w:hint="eastAsia"/>
              </w:rPr>
              <w:t xml:space="preserve">否（成熟开源时序数据库）</w:t>
            </w:r>
          </w:p>
        </w:tc>
      </w:tr>
      <w:tr>
        <w:tc>
          <w:tcPr/>
          <w:p>
            <w:pPr>
              <w:pStyle w:val="27"/>
            </w:pPr>
            <w:r>
              <w:t xml:space="preserve">MQTT Broker (EMQX)</w:t>
            </w:r>
          </w:p>
        </w:tc>
        <w:tc>
          <w:tcPr/>
          <w:p>
            <w:pPr>
              <w:pStyle w:val="27"/>
            </w:pPr>
            <w:r>
              <w:rPr>
                <w:rFonts w:hint="eastAsia"/>
              </w:rPr>
              <w:t xml:space="preserve">物联网消息中间件</w:t>
            </w:r>
          </w:p>
        </w:tc>
        <w:tc>
          <w:tcPr/>
          <w:p>
            <w:pPr>
              <w:pStyle w:val="27"/>
            </w:pPr>
            <w:r>
              <w:rPr>
                <w:rFonts w:hint="eastAsia"/>
              </w:rPr>
              <w:t xml:space="preserve">否（成熟开源MQTT</w:t>
            </w:r>
            <w:r>
              <w:t xml:space="preserve"> </w:t>
            </w:r>
            <w:r>
              <w:rPr>
                <w:rFonts w:hint="eastAsia"/>
              </w:rPr>
              <w:t xml:space="preserve">Broker）</w:t>
            </w:r>
          </w:p>
        </w:tc>
      </w:tr>
      <w:tr>
        <w:tc>
          <w:tcPr/>
          <w:p>
            <w:pPr>
              <w:pStyle w:val="27"/>
            </w:pPr>
            <w:r>
              <w:t xml:space="preserve">Node-RED</w:t>
            </w:r>
          </w:p>
        </w:tc>
        <w:tc>
          <w:tcPr/>
          <w:p>
            <w:pPr>
              <w:pStyle w:val="27"/>
            </w:pPr>
            <w:r>
              <w:rPr>
                <w:rFonts w:hint="eastAsia"/>
              </w:rPr>
              <w:t xml:space="preserve">策略编排引擎（云端实例）</w:t>
            </w:r>
          </w:p>
        </w:tc>
        <w:tc>
          <w:tcPr/>
          <w:p>
            <w:pPr>
              <w:pStyle w:val="27"/>
            </w:pPr>
            <w:r>
              <w:rPr>
                <w:rFonts w:hint="eastAsia"/>
              </w:rPr>
              <w:t xml:space="preserve">否（成熟开源流处理平台）</w:t>
            </w:r>
          </w:p>
        </w:tc>
      </w:tr>
      <w:tr>
        <w:tc>
          <w:tcPr/>
          <w:p>
            <w:pPr>
              <w:pStyle w:val="27"/>
            </w:pPr>
            <w:r>
              <w:t xml:space="preserve">Docker</w:t>
            </w:r>
          </w:p>
        </w:tc>
        <w:tc>
          <w:tcPr/>
          <w:p>
            <w:pPr>
              <w:pStyle w:val="27"/>
            </w:pPr>
            <w:r>
              <w:rPr>
                <w:rFonts w:hint="eastAsia"/>
              </w:rPr>
              <w:t xml:space="preserve">容器化部署</w:t>
            </w:r>
          </w:p>
        </w:tc>
        <w:tc>
          <w:tcPr/>
          <w:p>
            <w:pPr>
              <w:pStyle w:val="27"/>
            </w:pPr>
            <w:r>
              <w:rPr>
                <w:rFonts w:hint="eastAsia"/>
              </w:rPr>
              <w:t xml:space="preserve">否（成熟开源容器引擎）</w:t>
            </w:r>
          </w:p>
        </w:tc>
      </w:tr>
    </w:tbl>
    <w:p>
      <w:pPr>
        <w:pStyle w:val="3"/>
      </w:pPr>
      <w:r>
        <w:rPr>
          <w:rFonts w:hint="eastAsia"/>
        </w:rPr>
        <w:t xml:space="preserve">在共享技术栈的应用过程中，公司突破了传统代码开发的高成本瓶颈，创新性地将Node-RED引入楼宇工业级场景——并非仅将其作为简单的流程工具使用，而是将其打造为自主研发的”流式逻辑编排平台”的核心技术栈。技术团队为此编写了国内首部《Node-RED物联网应用开发工程实践》教程，将流程化开发思想（Flow-based</w:t>
      </w:r>
      <w:r>
        <w:t xml:space="preserve"> </w:t>
      </w:r>
      <w:r>
        <w:rPr>
          <w:rFonts w:hint="eastAsia"/>
        </w:rPr>
        <w:t xml:space="preserve">Programming，FBP方式）系统化、方法论化。这种方式不仅显著提升了开发效率（相比传统硬编码方式，场景策略的开发与部署周期缩短60%），更核心的是通过Node-RED强大的Node.js全球库生态支持，实现了与工业协议（Modbus/BACnet/KNX/OPC</w:t>
      </w:r>
      <w:r>
        <w:t xml:space="preserve"> </w:t>
      </w:r>
      <w:r>
        <w:rPr>
          <w:rFonts w:hint="eastAsia"/>
        </w:rPr>
        <w:t xml:space="preserve">UA）、人工智能框架（TensorFlow/PyTorch模型推理节点）、云端API的无缝连接，使BuildingOS平台具备了持续接入全球技术生态的扩展能力。</w:t>
      </w:r>
    </w:p>
    <w:p>
      <w:pPr>
        <w:pStyle w:val="3"/>
      </w:pPr>
      <w:r>
        <w:rPr>
          <w:rFonts w:hint="eastAsia"/>
        </w:rPr>
        <w:t xml:space="preserve">各项目的研发内容是在此技术栈基础上，针对各自场景技术攻关点的方案设计、算法实现和系统集成。统一技术栈是现代软件工程的常见做法——如同一个大型互联网公司的多个产品线共用Spring</w:t>
      </w:r>
      <w:r>
        <w:t xml:space="preserve"> Boot + </w:t>
      </w:r>
      <w:r>
        <w:rPr>
          <w:rFonts w:hint="eastAsia"/>
        </w:rPr>
        <w:t xml:space="preserve">MySQL，这不构成对项目独立性的否定。研发活动的核心在于各项目面向不同技术领域独立攻克的技术难题，而非使用了相同的编程语言和数据库。</w:t>
      </w:r>
    </w:p>
    <w:p>
      <w:pPr>
        <w:pStyle w:val="3"/>
      </w:pPr>
      <w:r>
        <w:rPr>
          <w:rFonts w:hint="eastAsia"/>
        </w:rPr>
        <w:t xml:space="preserve">四、5个应用系统之间的业务联动</w:t>
      </w:r>
    </w:p>
    <w:p>
      <w:pPr>
        <w:pStyle w:val="3"/>
      </w:pPr>
      <w:r>
        <w:rPr>
          <w:rFonts w:hint="eastAsia"/>
        </w:rPr>
        <w:t xml:space="preserve">5个系统同属Buildingos.ai平台，部分业务场景需要跨系统联动：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27"/>
            </w:pPr>
            <w:r>
              <w:rPr>
                <w:rFonts w:hint="eastAsia"/>
              </w:rPr>
              <w:t xml:space="preserve">联动场景</w:t>
            </w:r>
          </w:p>
        </w:tc>
        <w:tc>
          <w:tcPr/>
          <w:p>
            <w:pPr>
              <w:pStyle w:val="27"/>
            </w:pPr>
            <w:r>
              <w:rPr>
                <w:rFonts w:hint="eastAsia"/>
              </w:rPr>
              <w:t xml:space="preserve">涉及系统</w:t>
            </w:r>
          </w:p>
        </w:tc>
        <w:tc>
          <w:tcPr/>
          <w:p>
            <w:pPr>
              <w:pStyle w:val="27"/>
            </w:pPr>
            <w:r>
              <w:rPr>
                <w:rFonts w:hint="eastAsia"/>
              </w:rPr>
              <w:t xml:space="preserve">实现方式</w:t>
            </w:r>
          </w:p>
        </w:tc>
        <w:tc>
          <w:tcPr/>
          <w:p>
            <w:pPr>
              <w:pStyle w:val="27"/>
            </w:pPr>
            <w:r>
              <w:rPr>
                <w:rFonts w:hint="eastAsia"/>
              </w:rPr>
              <w:t xml:space="preserve">技术说明</w:t>
            </w:r>
          </w:p>
        </w:tc>
      </w:tr>
      <w:tr>
        <w:tc>
          <w:tcPr/>
          <w:p>
            <w:pPr>
              <w:pStyle w:val="27"/>
            </w:pPr>
            <w:r>
              <w:rPr>
                <w:rFonts w:hint="eastAsia"/>
              </w:rPr>
              <w:t xml:space="preserve">访客审批→门禁权限下发</w:t>
            </w:r>
          </w:p>
        </w:tc>
        <w:tc>
          <w:tcPr/>
          <w:p>
            <w:pPr>
              <w:pStyle w:val="27"/>
            </w:pPr>
            <w:r>
              <w:rPr>
                <w:rFonts w:hint="eastAsia"/>
              </w:rPr>
              <w:t xml:space="preserve">访客系统</w:t>
            </w:r>
            <w:r>
              <w:t xml:space="preserve"> → </w:t>
            </w:r>
            <w:r>
              <w:rPr>
                <w:rFonts w:hint="eastAsia"/>
              </w:rPr>
              <w:t xml:space="preserve">通行系统</w:t>
            </w:r>
          </w:p>
        </w:tc>
        <w:tc>
          <w:tcPr/>
          <w:p>
            <w:pPr>
              <w:pStyle w:val="27"/>
            </w:pPr>
            <w:r>
              <w:rPr>
                <w:rFonts w:hint="eastAsia"/>
              </w:rPr>
              <w:t xml:space="preserve">访客系统通过API调用通行系统的权限下发接口</w:t>
            </w:r>
          </w:p>
        </w:tc>
        <w:tc>
          <w:tcPr/>
          <w:p>
            <w:pPr>
              <w:pStyle w:val="27"/>
            </w:pPr>
            <w:r>
              <w:rPr>
                <w:rFonts w:hint="eastAsia"/>
              </w:rPr>
              <w:t xml:space="preserve">涉及临时权限的跨系统原子性下发（需同时写入门禁+梯控设备）</w:t>
            </w:r>
          </w:p>
        </w:tc>
      </w:tr>
      <w:tr>
        <w:tc>
          <w:tcPr/>
          <w:p>
            <w:pPr>
              <w:pStyle w:val="27"/>
            </w:pPr>
            <w:r>
              <w:rPr>
                <w:rFonts w:hint="eastAsia"/>
              </w:rPr>
              <w:t xml:space="preserve">访客审批→梯控权限联动</w:t>
            </w:r>
          </w:p>
        </w:tc>
        <w:tc>
          <w:tcPr/>
          <w:p>
            <w:pPr>
              <w:pStyle w:val="27"/>
            </w:pPr>
            <w:r>
              <w:rPr>
                <w:rFonts w:hint="eastAsia"/>
              </w:rPr>
              <w:t xml:space="preserve">访客系统</w:t>
            </w:r>
            <w:r>
              <w:t xml:space="preserve"> → </w:t>
            </w:r>
            <w:r>
              <w:rPr>
                <w:rFonts w:hint="eastAsia"/>
              </w:rPr>
              <w:t xml:space="preserve">通行系统</w:t>
            </w:r>
          </w:p>
        </w:tc>
        <w:tc>
          <w:tcPr/>
          <w:p>
            <w:pPr>
              <w:pStyle w:val="27"/>
            </w:pPr>
            <w:r>
              <w:rPr>
                <w:rFonts w:hint="eastAsia"/>
              </w:rPr>
              <w:t xml:space="preserve">同上API调用通道</w:t>
            </w:r>
          </w:p>
        </w:tc>
        <w:tc>
          <w:tcPr/>
          <w:p>
            <w:pPr>
              <w:pStyle w:val="27"/>
            </w:pPr>
            <w:r>
              <w:rPr>
                <w:rFonts w:hint="eastAsia"/>
              </w:rPr>
              <w:t xml:space="preserve">访客仅能到达被访楼层，权限与常驻人员隔离</w:t>
            </w:r>
          </w:p>
        </w:tc>
      </w:tr>
      <w:tr>
        <w:tc>
          <w:tcPr/>
          <w:p>
            <w:pPr>
              <w:pStyle w:val="27"/>
            </w:pPr>
            <w:r>
              <w:rPr>
                <w:rFonts w:hint="eastAsia"/>
              </w:rPr>
              <w:t xml:space="preserve">会议预约→门禁权限联动</w:t>
            </w:r>
          </w:p>
        </w:tc>
        <w:tc>
          <w:tcPr/>
          <w:p>
            <w:pPr>
              <w:pStyle w:val="27"/>
            </w:pPr>
            <w:r>
              <w:rPr>
                <w:rFonts w:hint="eastAsia"/>
              </w:rPr>
              <w:t xml:space="preserve">会议室系统</w:t>
            </w:r>
            <w:r>
              <w:t xml:space="preserve"> → </w:t>
            </w:r>
            <w:r>
              <w:rPr>
                <w:rFonts w:hint="eastAsia"/>
              </w:rPr>
              <w:t xml:space="preserve">通行系统</w:t>
            </w:r>
          </w:p>
        </w:tc>
        <w:tc>
          <w:tcPr/>
          <w:p>
            <w:pPr>
              <w:pStyle w:val="27"/>
            </w:pPr>
            <w:r>
              <w:rPr>
                <w:rFonts w:hint="eastAsia"/>
              </w:rPr>
              <w:t xml:space="preserve">会议室系统通过API调用通行系统的权限联动接口</w:t>
            </w:r>
          </w:p>
        </w:tc>
        <w:tc>
          <w:tcPr/>
          <w:p>
            <w:pPr>
              <w:pStyle w:val="27"/>
            </w:pPr>
            <w:r>
              <w:rPr>
                <w:rFonts w:hint="eastAsia"/>
              </w:rPr>
              <w:t xml:space="preserve">参会人员在会议时段内获得会议室所在楼层的临时门禁权限</w:t>
            </w:r>
          </w:p>
        </w:tc>
      </w:tr>
      <w:tr>
        <w:tc>
          <w:tcPr/>
          <w:p>
            <w:pPr>
              <w:pStyle w:val="27"/>
            </w:pPr>
            <w:r>
              <w:rPr>
                <w:rFonts w:hint="eastAsia"/>
              </w:rPr>
              <w:t xml:space="preserve">工位预约→智能插座通电</w:t>
            </w:r>
          </w:p>
        </w:tc>
        <w:tc>
          <w:tcPr/>
          <w:p>
            <w:pPr>
              <w:pStyle w:val="27"/>
            </w:pPr>
            <w:r>
              <w:rPr>
                <w:rFonts w:hint="eastAsia"/>
              </w:rPr>
              <w:t xml:space="preserve">空间预约系统</w:t>
            </w:r>
            <w:r>
              <w:t xml:space="preserve"> → </w:t>
            </w:r>
            <w:r>
              <w:rPr>
                <w:rFonts w:hint="eastAsia"/>
              </w:rPr>
              <w:t xml:space="preserve">设备</w:t>
            </w:r>
          </w:p>
        </w:tc>
        <w:tc>
          <w:tcPr/>
          <w:p>
            <w:pPr>
              <w:pStyle w:val="27"/>
            </w:pPr>
            <w:r>
              <w:rPr>
                <w:rFonts w:hint="eastAsia"/>
              </w:rPr>
              <w:t xml:space="preserve">通过MQTT指令控制智能插座</w:t>
            </w:r>
          </w:p>
        </w:tc>
        <w:tc>
          <w:tcPr/>
          <w:p>
            <w:pPr>
              <w:pStyle w:val="27"/>
            </w:pPr>
            <w:r>
              <w:rPr>
                <w:rFonts w:hint="eastAsia"/>
              </w:rPr>
              <w:t xml:space="preserve">用户签到后自动通电，签退/超时后自动断电</w:t>
            </w:r>
          </w:p>
        </w:tc>
      </w:tr>
      <w:tr>
        <w:tc>
          <w:tcPr/>
          <w:p>
            <w:pPr>
              <w:pStyle w:val="27"/>
            </w:pPr>
            <w:r>
              <w:rPr>
                <w:rFonts w:hint="eastAsia"/>
              </w:rPr>
              <w:t xml:space="preserve">卫生间异常→运维工单派发</w:t>
            </w:r>
          </w:p>
        </w:tc>
        <w:tc>
          <w:tcPr/>
          <w:p>
            <w:pPr>
              <w:pStyle w:val="27"/>
            </w:pPr>
            <w:r>
              <w:rPr>
                <w:rFonts w:hint="eastAsia"/>
              </w:rPr>
              <w:t xml:space="preserve">卫生间系统</w:t>
            </w:r>
            <w:r>
              <w:t xml:space="preserve"> → </w:t>
            </w:r>
            <w:r>
              <w:rPr>
                <w:rFonts w:hint="eastAsia"/>
              </w:rPr>
              <w:t xml:space="preserve">工单模块</w:t>
            </w:r>
          </w:p>
        </w:tc>
        <w:tc>
          <w:tcPr/>
          <w:p>
            <w:pPr>
              <w:pStyle w:val="27"/>
            </w:pPr>
            <w:r>
              <w:rPr>
                <w:rFonts w:hint="eastAsia"/>
              </w:rPr>
              <w:t xml:space="preserve">规则引擎触发工单派发</w:t>
            </w:r>
          </w:p>
        </w:tc>
        <w:tc>
          <w:tcPr/>
          <w:p>
            <w:pPr>
              <w:pStyle w:val="27"/>
            </w:pPr>
            <w:r>
              <w:rPr>
                <w:rFonts w:hint="eastAsia"/>
              </w:rPr>
              <w:t xml:space="preserve">融合研判确定根因后自动生成工单（含告警类型+处置建议）</w:t>
            </w:r>
          </w:p>
        </w:tc>
      </w:tr>
    </w:tbl>
    <w:p>
      <w:pPr>
        <w:pStyle w:val="3"/>
      </w:pPr>
      <w:r>
        <w:rPr>
          <w:rFonts w:hint="eastAsia"/>
        </w:rPr>
        <w:t xml:space="preserve">在AIoT预研之前，跨系统联动通过各系统间的API调用实现，存在接口标准不统一、对接效率低的问题——每新增一个跨系统联动场景，需要两个系统的开发人员分别理解和适配对方的接口格式。AIoT预研的核心目标之一就是建立统一的跨系统数据交互规范和事件总线机制，替代当前的逐对API对接方式，使跨系统联动从”逐对定制”变为”标准互通”。</w:t>
      </w:r>
    </w:p>
    <w:p>
      <w:pPr>
        <w:pStyle w:val="3"/>
      </w:pPr>
      <w:r>
        <w:rPr>
          <w:rFonts w:hint="eastAsia"/>
        </w:rPr>
        <w:t xml:space="preserve">五、5个应用系统与AIoT预研的技术关系</w:t>
      </w:r>
    </w:p>
    <w:p>
      <w:pPr>
        <w:pStyle w:val="3"/>
      </w:pPr>
      <w:r>
        <w:t xml:space="preserve">5.1 </w:t>
      </w:r>
      <w:r>
        <w:rPr>
          <w:rFonts w:hint="eastAsia"/>
        </w:rPr>
        <w:t xml:space="preserve">关系定位</w:t>
      </w:r>
    </w:p>
    <w:p>
      <w:pPr>
        <w:pStyle w:val="3"/>
      </w:pPr>
      <w:r>
        <w:rPr>
          <w:rFonts w:hint="eastAsia"/>
        </w:rPr>
        <w:t xml:space="preserve">AIoT预研与5个应用系统的关系，不是”底座支撑应用”，而是”从应用实践中提炼共性，形成统一框架”——</w:t>
      </w:r>
    </w:p>
    <w:tbl>
      <w:tblPr>
        <w:tblStyle w:val="Table"/>
        <w:tblW w:type="pct" w:w="5000"/>
        <w:tblLayout w:type="fixed"/>
        <w:tblLook w:firstRow="1" w:lastRow="0" w:firstColumn="0" w:lastColumn="0" w:noHBand="0" w:noVBand="0" w:val="0020"/>
      </w:tblPr>
      <w:tblGrid>
        <w:gridCol w:w="1033"/>
        <w:gridCol w:w="3615"/>
        <w:gridCol w:w="3271"/>
      </w:tblGrid>
      <w:tr>
        <w:trPr>
          <w:tblHeader w:val="on"/>
        </w:trPr>
        <w:tc>
          <w:tcPr/>
          <w:p>
            <w:pPr>
              <w:pStyle w:val="27"/>
            </w:pPr>
            <w:r>
              <w:rPr>
                <w:rFonts w:hint="eastAsia"/>
              </w:rPr>
              <w:t xml:space="preserve">维度</w:t>
            </w:r>
          </w:p>
        </w:tc>
        <w:tc>
          <w:tcPr/>
          <w:p>
            <w:pPr>
              <w:pStyle w:val="27"/>
            </w:pPr>
            <w:r>
              <w:rPr>
                <w:rFonts w:hint="eastAsia"/>
              </w:rPr>
              <w:t xml:space="preserve">阶段一（5个应用系统）</w:t>
            </w:r>
          </w:p>
        </w:tc>
        <w:tc>
          <w:tcPr/>
          <w:p>
            <w:pPr>
              <w:pStyle w:val="27"/>
            </w:pPr>
            <w:r>
              <w:rPr>
                <w:rFonts w:hint="eastAsia"/>
              </w:rPr>
              <w:t xml:space="preserve">阶段二（AIoT预研）</w:t>
            </w:r>
          </w:p>
        </w:tc>
      </w:tr>
      <w:tr>
        <w:tc>
          <w:tcPr/>
          <w:p>
            <w:pPr>
              <w:pStyle w:val="27"/>
            </w:pPr>
            <w:r>
              <w:rPr>
                <w:rFonts w:hint="eastAsia"/>
              </w:rPr>
              <w:t xml:space="preserve">性质</w:t>
            </w:r>
          </w:p>
        </w:tc>
        <w:tc>
          <w:tcPr/>
          <w:p>
            <w:pPr>
              <w:pStyle w:val="27"/>
            </w:pPr>
            <w:r>
              <w:rPr>
                <w:rFonts w:hint="eastAsia"/>
              </w:rPr>
              <w:t xml:space="preserve">场景化技术攻关，各自独立解决本场景的技术难题</w:t>
            </w:r>
          </w:p>
        </w:tc>
        <w:tc>
          <w:tcPr/>
          <w:p>
            <w:pPr>
              <w:pStyle w:val="27"/>
            </w:pPr>
            <w:r>
              <w:rPr>
                <w:rFonts w:hint="eastAsia"/>
              </w:rPr>
              <w:t xml:space="preserve">共性技术提炼，从5个系统中抽象统一框架和标准规范</w:t>
            </w:r>
          </w:p>
        </w:tc>
      </w:tr>
      <w:tr>
        <w:tc>
          <w:tcPr/>
          <w:p>
            <w:pPr>
              <w:pStyle w:val="27"/>
            </w:pPr>
            <w:r>
              <w:rPr>
                <w:rFonts w:hint="eastAsia"/>
              </w:rPr>
              <w:t xml:space="preserve">技术成果</w:t>
            </w:r>
          </w:p>
        </w:tc>
        <w:tc>
          <w:tcPr/>
          <w:p>
            <w:pPr>
              <w:pStyle w:val="27"/>
            </w:pPr>
            <w:r>
              <w:rPr>
                <w:rFonts w:hint="eastAsia"/>
              </w:rPr>
              <w:t xml:space="preserve">各系统独立的设备对接方案、数据格式、接入逻辑（均为独立开发）</w:t>
            </w:r>
          </w:p>
        </w:tc>
        <w:tc>
          <w:tcPr/>
          <w:p>
            <w:pPr>
              <w:pStyle w:val="27"/>
            </w:pPr>
            <w:r>
              <w:rPr>
                <w:rFonts w:hint="eastAsia"/>
              </w:rPr>
              <w:t xml:space="preserve">协议无关的统一指令抽象模型、统一数据交互规范、标准设备接入流程、分层解耦架构</w:t>
            </w:r>
          </w:p>
        </w:tc>
      </w:tr>
      <w:tr>
        <w:tc>
          <w:tcPr/>
          <w:p>
            <w:pPr>
              <w:pStyle w:val="27"/>
            </w:pPr>
            <w:r>
              <w:rPr>
                <w:rFonts w:hint="eastAsia"/>
              </w:rPr>
              <w:t xml:space="preserve">时间关系</w:t>
            </w:r>
          </w:p>
        </w:tc>
        <w:tc>
          <w:tcPr/>
          <w:p>
            <w:pPr>
              <w:pStyle w:val="27"/>
            </w:pPr>
            <w:r>
              <w:rPr>
                <w:rFonts w:hint="eastAsia"/>
              </w:rPr>
              <w:t xml:space="preserve">2024.1—2025.7先行完成</w:t>
            </w:r>
          </w:p>
        </w:tc>
        <w:tc>
          <w:tcPr/>
          <w:p>
            <w:pPr>
              <w:pStyle w:val="27"/>
            </w:pPr>
            <w:r>
              <w:rPr>
                <w:rFonts w:hint="eastAsia"/>
              </w:rPr>
              <w:t xml:space="preserve">2025.8—2025.12后续启动（晚于5个应用系统）</w:t>
            </w:r>
          </w:p>
        </w:tc>
      </w:tr>
      <w:tr>
        <w:tc>
          <w:tcPr/>
          <w:p>
            <w:pPr>
              <w:pStyle w:val="27"/>
            </w:pPr>
            <w:r>
              <w:rPr>
                <w:rFonts w:hint="eastAsia"/>
              </w:rPr>
              <w:t xml:space="preserve">对后续的价值</w:t>
            </w:r>
          </w:p>
        </w:tc>
        <w:tc>
          <w:tcPr/>
          <w:p>
            <w:pPr>
              <w:pStyle w:val="27"/>
            </w:pPr>
            <w:r>
              <w:rPr>
                <w:rFonts w:hint="eastAsia"/>
              </w:rPr>
              <w:t xml:space="preserve">各系统作为产品独立运行，已在望潮中心等项目中部署验证</w:t>
            </w:r>
          </w:p>
        </w:tc>
        <w:tc>
          <w:tcPr/>
          <w:p>
            <w:pPr>
              <w:pStyle w:val="27"/>
            </w:pPr>
            <w:r>
              <w:rPr>
                <w:rFonts w:hint="eastAsia"/>
              </w:rPr>
              <w:t xml:space="preserve">为后续产品迭代和新系统开发提供统一技术基础，降低重复开发</w:t>
            </w:r>
          </w:p>
        </w:tc>
      </w:tr>
    </w:tbl>
    <w:p>
      <w:pPr>
        <w:pStyle w:val="3"/>
      </w:pPr>
      <w:r>
        <w:t xml:space="preserve">5.2 </w:t>
      </w:r>
      <w:r>
        <w:rPr>
          <w:rFonts w:hint="eastAsia"/>
        </w:rPr>
        <w:t xml:space="preserve">AIoT预研的技术来源</w:t>
      </w:r>
    </w:p>
    <w:p>
      <w:pPr>
        <w:pStyle w:val="3"/>
      </w:pPr>
      <w:r>
        <w:rPr>
          <w:rFonts w:hint="eastAsia"/>
        </w:rPr>
        <w:t xml:space="preserve">AIoT预研的技术框架设计，来源于5个应用系统的实际技术经验积累：</w:t>
      </w:r>
    </w:p>
    <w:tbl>
      <w:tblPr>
        <w:tblStyle w:val="Table"/>
        <w:tblW w:type="pct" w:w="5000"/>
        <w:tblLayout w:type="fixed"/>
        <w:tblLook w:firstRow="1" w:lastRow="0" w:firstColumn="0" w:lastColumn="0" w:noHBand="0" w:noVBand="0" w:val="0020"/>
      </w:tblPr>
      <w:tblGrid>
        <w:gridCol w:w="3271"/>
        <w:gridCol w:w="4648"/>
      </w:tblGrid>
      <w:tr>
        <w:trPr>
          <w:tblHeader w:val="on"/>
        </w:trPr>
        <w:tc>
          <w:tcPr/>
          <w:p>
            <w:pPr>
              <w:pStyle w:val="27"/>
            </w:pPr>
            <w:r>
              <w:rPr>
                <w:rFonts w:hint="eastAsia"/>
              </w:rPr>
              <w:t xml:space="preserve">AIoT预研的技术成果</w:t>
            </w:r>
          </w:p>
        </w:tc>
        <w:tc>
          <w:tcPr/>
          <w:p>
            <w:pPr>
              <w:pStyle w:val="27"/>
            </w:pPr>
            <w:r>
              <w:rPr>
                <w:rFonts w:hint="eastAsia"/>
              </w:rPr>
              <w:t xml:space="preserve">经验来源（5个系统的独立实践）</w:t>
            </w:r>
          </w:p>
        </w:tc>
      </w:tr>
      <w:tr>
        <w:tc>
          <w:tcPr/>
          <w:p>
            <w:pPr>
              <w:pStyle w:val="27"/>
            </w:pPr>
            <w:r>
              <w:rPr>
                <w:rFonts w:hint="eastAsia"/>
              </w:rPr>
              <w:t xml:space="preserve">协议无关的统一指令抽象模型（统一寻址+统一编解码+统一操作语义）</w:t>
            </w:r>
          </w:p>
        </w:tc>
        <w:tc>
          <w:tcPr/>
          <w:p>
            <w:pPr>
              <w:pStyle w:val="27"/>
            </w:pPr>
            <w:r>
              <w:rPr>
                <w:rFonts w:hint="eastAsia"/>
              </w:rPr>
              <w:t xml:space="preserve">通行系统的MQTT/HTTP/RS485适配经验（门禁+梯控+人脸终端）；会议室系统的BACnet/DALI/KNX/Modbus/RS232适配经验（空调/新风/照明/窗帘/音视频）；卫生间系统的Modbus/RS485/LoRa/Zigbee/NB-IoT适配经验（环境传感器/厕位传感器/客流计数器）</w:t>
            </w:r>
          </w:p>
        </w:tc>
      </w:tr>
      <w:tr>
        <w:tc>
          <w:tcPr/>
          <w:p>
            <w:pPr>
              <w:pStyle w:val="27"/>
            </w:pPr>
            <w:r>
              <w:rPr>
                <w:rFonts w:hint="eastAsia"/>
              </w:rPr>
              <w:t xml:space="preserve">跨系统统一数据交互规范（核心字段统一+扩展字段自定义+事件总线）</w:t>
            </w:r>
          </w:p>
        </w:tc>
        <w:tc>
          <w:tcPr/>
          <w:p>
            <w:pPr>
              <w:pStyle w:val="27"/>
            </w:pPr>
            <w:r>
              <w:rPr>
                <w:rFonts w:hint="eastAsia"/>
              </w:rPr>
              <w:t xml:space="preserve">5个系统间逐对API对接的经验教训（访客→通行、会议室→通行、空间预约→设备、卫生间→工单），各系统在数据格式定义上的差异和对接痛点</w:t>
            </w:r>
          </w:p>
        </w:tc>
      </w:tr>
      <w:tr>
        <w:tc>
          <w:tcPr/>
          <w:p>
            <w:pPr>
              <w:pStyle w:val="27"/>
            </w:pPr>
            <w:r>
              <w:rPr>
                <w:rFonts w:hint="eastAsia"/>
              </w:rPr>
              <w:t xml:space="preserve">标准化设备接入流程（注册→认证→上报→指令→OTA）</w:t>
            </w:r>
          </w:p>
        </w:tc>
        <w:tc>
          <w:tcPr/>
          <w:p>
            <w:pPr>
              <w:pStyle w:val="27"/>
            </w:pPr>
            <w:r>
              <w:rPr>
                <w:rFonts w:hint="eastAsia"/>
              </w:rPr>
              <w:t xml:space="preserve">各系统独立开发设备接入逻辑的重复经验，设备接入流程的差异点和可标准化模式</w:t>
            </w:r>
          </w:p>
        </w:tc>
      </w:tr>
      <w:tr>
        <w:tc>
          <w:tcPr/>
          <w:p>
            <w:pPr>
              <w:pStyle w:val="27"/>
            </w:pPr>
            <w:r>
              <w:rPr>
                <w:rFonts w:hint="eastAsia"/>
              </w:rPr>
              <w:t xml:space="preserve">分层解耦五层架构设计（设备接入层/协议解析层/数据处理层/接口服务层/业务适配层）</w:t>
            </w:r>
          </w:p>
        </w:tc>
        <w:tc>
          <w:tcPr/>
          <w:p>
            <w:pPr>
              <w:pStyle w:val="27"/>
            </w:pPr>
            <w:r>
              <w:rPr>
                <w:rFonts w:hint="eastAsia"/>
              </w:rPr>
              <w:t xml:space="preserve">5个系统在独立部署和扩展中遇到的架构瓶颈（各系统完整的独立部署导致资源重复占用、新增系统需重新搭建全套基础设施）</w:t>
            </w:r>
          </w:p>
        </w:tc>
      </w:tr>
    </w:tbl>
    <w:p>
      <w:pPr>
        <w:pStyle w:val="3"/>
      </w:pPr>
      <w:r>
        <w:t xml:space="preserve">5.3 </w:t>
      </w:r>
      <w:r>
        <w:rPr>
          <w:rFonts w:hint="eastAsia"/>
        </w:rPr>
        <w:t xml:space="preserve">AIoT预研的创新性</w:t>
      </w:r>
    </w:p>
    <w:p>
      <w:pPr>
        <w:pStyle w:val="3"/>
      </w:pPr>
      <w:r>
        <w:rPr>
          <w:rFonts w:hint="eastAsia"/>
        </w:rPr>
        <w:t xml:space="preserve">AIoT预研的创新性不在于”发明全新的底层技术”，而在于针对7种通信模型本质不同的楼宇设备协议（MQTT异步发布/订阅、HTTP同步请求/响应、RS485原始串口帧、BACnet对象属性读写、DALI</w:t>
      </w:r>
      <w:r>
        <w:t xml:space="preserve"> </w:t>
      </w:r>
      <w:r>
        <w:rPr>
          <w:rFonts w:hint="eastAsia"/>
        </w:rPr>
        <w:t xml:space="preserve">16位短指令广播寻址、KNX组地址报文路由、Modbus寄存器地址读写），研究设计了协议无关的统一指令抽象模型。</w:t>
      </w:r>
    </w:p>
    <w:p>
      <w:pPr>
        <w:pStyle w:val="3"/>
      </w:pPr>
      <w:r>
        <w:rPr>
          <w:rFonts w:hint="eastAsia"/>
        </w:rPr>
        <w:t xml:space="preserve">具体而言，创新性体现在三个层次：</w:t>
      </w:r>
    </w:p>
    <w:p>
      <w:pPr>
        <w:pStyle w:val="3"/>
      </w:pPr>
      <w:r>
        <w:rPr>
          <w:rFonts w:hint="eastAsia"/>
        </w:rPr>
        <w:t xml:space="preserve">（1）协议抽象层次——统一指令模型设计：7种协议的寻址方式（MQTT</w:t>
      </w:r>
      <w:r>
        <w:t xml:space="preserve"> Topic vs BACnet Object Identifier vs </w:t>
      </w:r>
      <w:r>
        <w:rPr>
          <w:rFonts w:hint="eastAsia"/>
        </w:rPr>
        <w:t xml:space="preserve">Modbus寄存器地址</w:t>
      </w:r>
      <w:r>
        <w:t xml:space="preserve"> vs </w:t>
      </w:r>
      <w:r>
        <w:rPr>
          <w:rFonts w:hint="eastAsia"/>
        </w:rPr>
        <w:t xml:space="preserve">DALI短地址/组地址</w:t>
      </w:r>
      <w:r>
        <w:t xml:space="preserve"> vs </w:t>
      </w:r>
      <w:r>
        <w:rPr>
          <w:rFonts w:hint="eastAsia"/>
        </w:rPr>
        <w:t xml:space="preserve">KNX组地址</w:t>
      </w:r>
      <w:r>
        <w:t xml:space="preserve"> vs HTTP </w:t>
      </w:r>
      <w:r>
        <w:rPr>
          <w:rFonts w:hint="eastAsia"/>
        </w:rPr>
        <w:t xml:space="preserve">URL）、数据编码（JSON</w:t>
      </w:r>
      <w:r>
        <w:t xml:space="preserve"> vs BACnet Property Value vs Modbus </w:t>
      </w:r>
      <w:r>
        <w:rPr>
          <w:rFonts w:hint="eastAsia"/>
        </w:rPr>
        <w:t xml:space="preserve">16位寄存器</w:t>
      </w:r>
      <w:r>
        <w:t xml:space="preserve"> vs DALI </w:t>
      </w:r>
      <w:r>
        <w:rPr>
          <w:rFonts w:hint="eastAsia"/>
        </w:rPr>
        <w:t xml:space="preserve">8位帧</w:t>
      </w:r>
      <w:r>
        <w:t xml:space="preserve"> vs KNX </w:t>
      </w:r>
      <w:r>
        <w:rPr>
          <w:rFonts w:hint="eastAsia"/>
        </w:rPr>
        <w:t xml:space="preserve">DPT编码）、传输模式（MQTT异步发布/订阅</w:t>
      </w:r>
      <w:r>
        <w:t xml:space="preserve"> vs </w:t>
      </w:r>
      <w:r>
        <w:rPr>
          <w:rFonts w:hint="eastAsia"/>
        </w:rPr>
        <w:t xml:space="preserve">HTTP同步请求/响应</w:t>
      </w:r>
      <w:r>
        <w:t xml:space="preserve"> vs </w:t>
      </w:r>
      <w:r>
        <w:rPr>
          <w:rFonts w:hint="eastAsia"/>
        </w:rPr>
        <w:t xml:space="preserve">RS485串口轮询</w:t>
      </w:r>
      <w:r>
        <w:t xml:space="preserve"> vs BACnet ReadProperty/WriteProperty vs </w:t>
      </w:r>
      <w:r>
        <w:rPr>
          <w:rFonts w:hint="eastAsia"/>
        </w:rPr>
        <w:t xml:space="preserve">DALI广播指令</w:t>
      </w:r>
      <w:r>
        <w:t xml:space="preserve"> vs </w:t>
      </w:r>
      <w:r>
        <w:rPr>
          <w:rFonts w:hint="eastAsia"/>
        </w:rPr>
        <w:t xml:space="preserve">KNX组地址报文路由）完全不同，无法通过简单封装实现统一接入。需要研究设计统一指令模型，涵盖：统一寻址（将不同协议的设备地址映射为统一标识）、统一编解码（将不同协议的数据帧解析/封装抽象为统一编解码接口）、统一操作语义（将不同协议的操作类型映射为统一的读/写/订阅/控制语义）。这一抽象过程存在技术不确定性——每增加一种新协议（如OPC</w:t>
      </w:r>
      <w:r>
        <w:t xml:space="preserve"> </w:t>
      </w:r>
      <w:r>
        <w:rPr>
          <w:rFonts w:hint="eastAsia"/>
        </w:rPr>
        <w:t xml:space="preserve">UA、Matter），都需验证其关键操作语义能否被统一模型覆盖；</w:t>
      </w:r>
    </w:p>
    <w:p>
      <w:pPr>
        <w:pStyle w:val="3"/>
      </w:pPr>
      <w:r>
        <w:rPr>
          <w:rFonts w:hint="eastAsia"/>
        </w:rPr>
        <w:t xml:space="preserve">（2）数据互通层次——从逐对API定制到事件总线：将5个系统间逐对API对接的经验，归纳为统一的数据交互规范和事件总线机制——需要抽象出跨系统数据交互的通用模式（事件类型定义、载荷结构规范、订阅路由规则），并在通用性和场景适配性之间反复权衡。过于通用则各系统需要大量自定义适配，过于具体则回到逐对定制的老路；</w:t>
      </w:r>
    </w:p>
    <w:p>
      <w:pPr>
        <w:pStyle w:val="3"/>
      </w:pPr>
      <w:r>
        <w:rPr>
          <w:rFonts w:hint="eastAsia"/>
        </w:rPr>
        <w:t xml:space="preserve">（3）架构层次——从分散部署到分层解耦：将各系统各自为战的完整部署方式，抽象为五层解耦架构（设备接入层→协议解析层→数据处理层→接口服务层→业务适配层），各层独立部署、弹性扩展，多个业务系统共享底层的设备接入和协议解析能力。</w:t>
      </w:r>
    </w:p>
    <w:p>
      <w:pPr>
        <w:pStyle w:val="3"/>
      </w:pPr>
      <w:r>
        <w:rPr>
          <w:rFonts w:hint="eastAsia"/>
        </w:rPr>
        <w:t xml:space="preserve">这一”从分散到统一”的抽象过程，需要反复验证和迭代，不是简单的文档整理或代码搬运。统一指令模型的设计需要在通用性和场景适配性之间反复权衡——过于通用则无法覆盖特定协议的核心特性（如BACnet的对象属性读写语义、DALI的广播寻址机制、KNX的组地址数据点类型体系），过于适配则又回到了各自适配的老路，失去了统一框架的意义。需要通过多品类设备（门禁/梯控/空调/灯光/窗帘/传感器/音视频）的接入测试验证模型的可扩展性，需要处理5个系统各自特殊需求与统一框架之间的兼容问题。这些不确定性构成了本项目的研发属性。</w:t>
      </w:r>
    </w:p>
    <w:p>
      <w:pPr>
        <w:pStyle w:val="3"/>
      </w:pPr>
      <w:r>
        <w:rPr>
          <w:rFonts w:hint="eastAsia"/>
        </w:rPr>
        <w:t xml:space="preserve">六、总结</w:t>
      </w:r>
    </w:p>
    <w:p>
      <w:pPr>
        <w:pStyle w:val="3"/>
      </w:pPr>
      <w:r>
        <w:rPr>
          <w:rFonts w:hint="eastAsia"/>
        </w:rPr>
        <w:t xml:space="preserve">6个研发项目构成了”场景攻关先行→共性提炼后建”的完整技术演进路径：</w:t>
      </w:r>
    </w:p>
    <w:p>
      <w:pPr>
        <w:pStyle w:val="3"/>
      </w:pPr>
      <w:r>
        <w:rPr>
          <w:rFonts w:hint="eastAsia"/>
        </w:rPr>
        <w:t xml:space="preserve">5个应用系统（2024.1—2025.7）：各自独立完成场景化技术攻关，技术方向涵盖安防通行、临时权限安全、空间资源调度、楼宇设备控制、物联网感知5个不同的技术领域。每个系统均有独立的技术攻关点（多模态核验调度/临时权限分布式一致性/多维约束排程/四协议设备联动/多源融合研判）和明确的技术不确定性，是Buildingos.ai产品的核心功能模块。全部5个系统已在杭州望潮中心（12.5万㎡、5万+</w:t>
      </w:r>
      <w:r>
        <w:t xml:space="preserve"> </w:t>
      </w:r>
      <w:r>
        <w:rPr>
          <w:rFonts w:hint="eastAsia"/>
        </w:rPr>
        <w:t xml:space="preserve">IoT节点）等项目中实际部署并稳定运行；</w:t>
      </w:r>
    </w:p>
    <w:p>
      <w:pPr>
        <w:pStyle w:val="3"/>
      </w:pPr>
      <w:r>
        <w:rPr>
          <w:rFonts w:hint="eastAsia"/>
        </w:rPr>
        <w:t xml:space="preserve">AIoT底层预研（2025.8—2025.12）：从5个系统的技术实践中提炼共性，研究设计协议无关的统一指令抽象模型、跨系统统一数据交互规范和分层解耦架构，是技术体系化建设的关键一步，为后续产品迭代和新系统开发提供统一技术基础。</w:t>
      </w:r>
    </w:p>
    <w:p>
      <w:pPr>
        <w:pStyle w:val="3"/>
      </w:pPr>
      <w:r>
        <w:rPr>
          <w:rFonts w:hint="eastAsia"/>
        </w:rPr>
        <w:t xml:space="preserve">6个项目分立立项具有技术和管理层面的合理性——各项目面向不同的技术领域，具有独立的技术攻关目标和不确定性，不存在”拆分项目”或”重复申报”的情况。</w:t>
      </w:r>
    </w:p>
    <w:sect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pos="0" w:val="left"/>
        </w:tabs>
        <w:ind w:hanging="480" w:left="480"/>
      </w:pPr>
    </w:lvl>
    <w:lvl w:ilvl="1" w:tentative="0">
      <w:start w:val="0"/>
      <w:numFmt w:val="bullet"/>
      <w:lvlText w:val="–"/>
      <w:lvlJc w:val="left"/>
      <w:pPr>
        <w:tabs>
          <w:tab w:pos="720" w:val="left"/>
        </w:tabs>
        <w:ind w:hanging="480" w:left="1200"/>
      </w:pPr>
    </w:lvl>
    <w:lvl w:ilvl="2" w:tentative="0">
      <w:start w:val="0"/>
      <w:numFmt w:val="bullet"/>
      <w:lvlText w:val="•"/>
      <w:lvlJc w:val="left"/>
      <w:pPr>
        <w:tabs>
          <w:tab w:pos="1440" w:val="left"/>
        </w:tabs>
        <w:ind w:hanging="480" w:left="1920"/>
      </w:pPr>
    </w:lvl>
    <w:lvl w:ilvl="3" w:tentative="0">
      <w:start w:val="0"/>
      <w:numFmt w:val="bullet"/>
      <w:lvlText w:val="–"/>
      <w:lvlJc w:val="left"/>
      <w:pPr>
        <w:tabs>
          <w:tab w:pos="2160" w:val="left"/>
        </w:tabs>
        <w:ind w:hanging="480" w:left="2640"/>
      </w:pPr>
    </w:lvl>
    <w:lvl w:ilvl="4" w:tentative="0">
      <w:start w:val="0"/>
      <w:numFmt w:val="bullet"/>
      <w:lvlText w:val="•"/>
      <w:lvlJc w:val="left"/>
      <w:pPr>
        <w:tabs>
          <w:tab w:pos="2880" w:val="left"/>
        </w:tabs>
        <w:ind w:hanging="480" w:left="3360"/>
      </w:pPr>
    </w:lvl>
    <w:lvl w:ilvl="5" w:tentative="0">
      <w:start w:val="0"/>
      <w:numFmt w:val="bullet"/>
      <w:lvlText w:val="–"/>
      <w:lvlJc w:val="left"/>
      <w:pPr>
        <w:tabs>
          <w:tab w:pos="3600" w:val="left"/>
        </w:tabs>
        <w:ind w:hanging="480" w:left="4080"/>
      </w:pPr>
    </w:lvl>
    <w:lvl w:ilvl="6" w:tentative="0">
      <w:start w:val="0"/>
      <w:numFmt w:val="bullet"/>
      <w:lvlText w:val="•"/>
      <w:lvlJc w:val="left"/>
      <w:pPr>
        <w:tabs>
          <w:tab w:pos="4320" w:val="left"/>
        </w:tabs>
        <w:ind w:hanging="480" w:left="4800"/>
      </w:pPr>
    </w:lvl>
    <w:lvl w:ilvl="7" w:tentative="0">
      <w:start w:val="0"/>
      <w:numFmt w:val="bullet"/>
      <w:lvlText w:val="–"/>
      <w:lvlJc w:val="left"/>
      <w:pPr>
        <w:tabs>
          <w:tab w:pos="5040" w:val="left"/>
        </w:tabs>
        <w:ind w:hanging="480" w:left="5520"/>
      </w:pPr>
    </w:lvl>
    <w:lvl w:ilvl="8" w:tentative="0">
      <w:start w:val="0"/>
      <w:numFmt w:val="bullet"/>
      <w:lvlText w:val="•"/>
      <w:lvlJc w:val="left"/>
      <w:pPr>
        <w:tabs>
          <w:tab w:pos="5760" w:val="left"/>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8"/>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5A0D05C8"/>
    <w:rsid w:val="7E89431B"/>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o:shapelayout v:ext="edit">
      <o:idmap data="1"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0" w:unhideWhenUsed="0"/>
    <w:lsdException w:name="toc 2" w:qFormat="1" w:semiHidden="0" w:uiPriority="0" w:unhideWhenUsed="0"/>
    <w:lsdException w:name="toc 3" w:qFormat="1"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HAnsi" w:cstheme="minorBidi" w:eastAsiaTheme="minorHAnsi" w:hAnsiTheme="minorHAnsi"/>
      <w:sz w:val="24"/>
      <w:szCs w:val="24"/>
      <w:lang w:bidi="ar-SA" w:eastAsia="en-US" w:val="en-US"/>
    </w:rPr>
  </w:style>
  <w:style w:styleId="2" w:type="paragraph">
    <w:name w:val="heading 1"/>
    <w:basedOn w:val="1"/>
    <w:next w:val="3"/>
    <w:qFormat/>
    <w:uiPriority w:val="9"/>
    <w:pPr>
      <w:keepNext/>
      <w:keepLines/>
      <w:spacing w:after="0" w:before="480"/>
      <w:outlineLvl w:val="0"/>
    </w:pPr>
    <w:rPr>
      <w:rFonts w:asciiTheme="majorHAnsi" w:cstheme="majorBidi" w:eastAsiaTheme="majorEastAsia" w:hAnsiTheme="majorHAnsi"/>
      <w:b/>
      <w:bCs/>
      <w:color w:themeColor="accent1" w:val="4F81BD"/>
      <w:sz w:val="32"/>
      <w:szCs w:val="32"/>
    </w:rPr>
  </w:style>
  <w:style w:styleId="4" w:type="paragraph">
    <w:name w:val="heading 2"/>
    <w:basedOn w:val="1"/>
    <w:next w:val="3"/>
    <w:unhideWhenUsed/>
    <w:qFormat/>
    <w:uiPriority w:val="9"/>
    <w:pPr>
      <w:keepNext/>
      <w:keepLines/>
      <w:spacing w:after="0" w:before="200"/>
      <w:outlineLvl w:val="1"/>
    </w:pPr>
    <w:rPr>
      <w:rFonts w:asciiTheme="majorHAnsi" w:cstheme="majorBidi" w:eastAsiaTheme="majorEastAsia" w:hAnsiTheme="majorHAnsi"/>
      <w:b/>
      <w:bCs/>
      <w:color w:themeColor="accent1" w:val="4F81BD"/>
      <w:sz w:val="28"/>
      <w:szCs w:val="28"/>
    </w:rPr>
  </w:style>
  <w:style w:styleId="5" w:type="paragraph">
    <w:name w:val="heading 3"/>
    <w:basedOn w:val="1"/>
    <w:next w:val="3"/>
    <w:unhideWhenUsed/>
    <w:qFormat/>
    <w:uiPriority w:val="9"/>
    <w:pPr>
      <w:keepNext/>
      <w:keepLines/>
      <w:spacing w:after="0" w:before="200"/>
      <w:outlineLvl w:val="2"/>
    </w:pPr>
    <w:rPr>
      <w:rFonts w:asciiTheme="majorHAnsi" w:cstheme="majorBidi" w:eastAsiaTheme="majorEastAsia" w:hAnsiTheme="majorHAnsi"/>
      <w:b/>
      <w:bCs/>
      <w:color w:themeColor="accent1" w:val="4F81BD"/>
      <w:sz w:val="24"/>
      <w:szCs w:val="24"/>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Cs/>
      <w:i/>
      <w:color w:themeColor="accent1" w:val="4F81BD"/>
      <w:sz w:val="24"/>
      <w:szCs w:val="24"/>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Cs/>
      <w:color w:themeColor="accent1" w:val="4F81BD"/>
      <w:sz w:val="24"/>
      <w:szCs w:val="24"/>
    </w:rPr>
  </w:style>
  <w:style w:styleId="8" w:type="paragraph">
    <w:name w:val="heading 6"/>
    <w:basedOn w:val="1"/>
    <w:next w:val="3"/>
    <w:unhideWhenUsed/>
    <w:qFormat/>
    <w:uiPriority w:val="9"/>
    <w:pPr>
      <w:keepNext/>
      <w:keepLines/>
      <w:spacing w:after="0" w:before="200"/>
      <w:outlineLvl w:val="5"/>
    </w:pPr>
    <w:rPr>
      <w:rFonts w:asciiTheme="majorHAnsi" w:cstheme="majorBidi" w:eastAsiaTheme="majorEastAsia" w:hAnsiTheme="majorHAnsi"/>
      <w:color w:themeColor="accent1" w:val="4F81BD"/>
      <w:sz w:val="24"/>
      <w:szCs w:val="24"/>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sz w:val="24"/>
      <w:szCs w:val="24"/>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sz w:val="24"/>
      <w:szCs w:val="24"/>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sz w:val="24"/>
      <w:szCs w:val="24"/>
    </w:rPr>
  </w:style>
  <w:style w:default="1" w:styleId="22" w:type="character">
    <w:name w:val="Default Paragraph Font"/>
    <w:semiHidden/>
    <w:unhideWhenUsed/>
    <w:qFormat/>
    <w:uiPriority w:val="0"/>
  </w:style>
  <w:style w:default="1" w:styleId="21" w:type="table">
    <w:name w:val="Normal Table"/>
    <w:qFormat/>
    <w:uiPriority w:val="0"/>
    <w:tblPr>
      <w:tblCellMar>
        <w:top w:type="dxa" w:w="0"/>
        <w:left w:type="dxa" w:w="108"/>
        <w:bottom w:type="dxa" w:w="0"/>
        <w:right w:type="dxa" w:w="108"/>
      </w:tblCellMar>
    </w:tblPr>
  </w:style>
  <w:style w:styleId="3" w:type="paragraph">
    <w:name w:val="Body Text"/>
    <w:basedOn w:val="1"/>
    <w:link w:val="24"/>
    <w:qFormat/>
    <w:uiPriority w:val="0"/>
    <w:pPr>
      <w:spacing w:after="180" w:before="180"/>
    </w:pPr>
  </w:style>
  <w:style w:styleId="12" w:type="paragraph">
    <w:name w:val="caption"/>
    <w:basedOn w:val="1"/>
    <w:qFormat/>
    <w:uiPriority w:val="0"/>
    <w:pPr>
      <w:spacing w:after="120" w:before="0"/>
    </w:pPr>
    <w:rPr>
      <w:i/>
    </w:rPr>
  </w:style>
  <w:style w:styleId="13" w:type="paragraph">
    <w:name w:val="Block Text"/>
    <w:basedOn w:val="3"/>
    <w:next w:val="3"/>
    <w:unhideWhenUsed/>
    <w:qFormat/>
    <w:uiPriority w:val="9"/>
    <w:pPr>
      <w:spacing w:after="100" w:before="100"/>
      <w:ind w:firstLine="0" w:left="480" w:right="480"/>
    </w:pPr>
  </w:style>
  <w:style w:styleId="14" w:type="paragraph">
    <w:name w:val="toc 3"/>
    <w:basedOn w:val="1"/>
    <w:next w:val="1"/>
    <w:qFormat/>
    <w:uiPriority w:val="0"/>
    <w:pPr>
      <w:ind w:left="840" w:leftChars="400"/>
    </w:pPr>
  </w:style>
  <w:style w:styleId="15"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16" w:type="paragraph">
    <w:name w:val="toc 1"/>
    <w:basedOn w:val="1"/>
    <w:next w:val="1"/>
    <w:qFormat/>
    <w:uiPriority w:val="0"/>
  </w:style>
  <w:style w:styleId="17" w:type="paragraph">
    <w:name w:val="Subtitle"/>
    <w:basedOn w:val="18"/>
    <w:next w:val="3"/>
    <w:qFormat/>
    <w:uiPriority w:val="0"/>
    <w:pPr>
      <w:keepNext/>
      <w:keepLines/>
      <w:spacing w:after="240" w:before="240"/>
      <w:jc w:val="center"/>
    </w:pPr>
    <w:rPr>
      <w:sz w:val="30"/>
      <w:szCs w:val="30"/>
    </w:rPr>
  </w:style>
  <w:style w:styleId="18"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35B8A"/>
      <w:sz w:val="36"/>
      <w:szCs w:val="36"/>
    </w:rPr>
  </w:style>
  <w:style w:styleId="19" w:type="paragraph">
    <w:name w:val="footnote text"/>
    <w:basedOn w:val="1"/>
    <w:unhideWhenUsed/>
    <w:qFormat/>
    <w:uiPriority w:val="9"/>
  </w:style>
  <w:style w:styleId="20" w:type="paragraph">
    <w:name w:val="toc 2"/>
    <w:basedOn w:val="1"/>
    <w:next w:val="1"/>
    <w:qFormat/>
    <w:uiPriority w:val="0"/>
    <w:pPr>
      <w:ind w:left="420" w:leftChars="200"/>
    </w:pPr>
  </w:style>
  <w:style w:styleId="23" w:type="character">
    <w:name w:val="Hyperlink"/>
    <w:basedOn w:val="24"/>
    <w:qFormat/>
    <w:uiPriority w:val="0"/>
    <w:rPr>
      <w:color w:themeColor="accent1" w:val="4F81BD"/>
    </w:rPr>
  </w:style>
  <w:style w:customStyle="1" w:styleId="24" w:type="character">
    <w:name w:val="Body Text Char"/>
    <w:basedOn w:val="22"/>
    <w:link w:val="3"/>
    <w:qFormat/>
    <w:uiPriority w:val="0"/>
  </w:style>
  <w:style w:styleId="25" w:type="character">
    <w:name w:val="footnote reference"/>
    <w:basedOn w:val="24"/>
    <w:qFormat/>
    <w:uiPriority w:val="0"/>
    <w:rPr>
      <w:vertAlign w:val="superscript"/>
    </w:rPr>
  </w:style>
  <w:style w:customStyle="1" w:styleId="26" w:type="paragraph">
    <w:name w:val="First Paragraph"/>
    <w:basedOn w:val="3"/>
    <w:next w:val="3"/>
    <w:qFormat/>
    <w:uiPriority w:val="0"/>
  </w:style>
  <w:style w:customStyle="1" w:styleId="27" w:type="paragraph">
    <w:name w:val="Compact"/>
    <w:basedOn w:val="3"/>
    <w:qFormat/>
    <w:uiPriority w:val="0"/>
    <w:pPr>
      <w:spacing w:after="36" w:before="36"/>
    </w:pPr>
  </w:style>
  <w:style w:customStyle="1" w:styleId="28"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customStyle="1" w:styleId="29" w:type="paragraph">
    <w:name w:val="Abstract"/>
    <w:basedOn w:val="1"/>
    <w:next w:val="3"/>
    <w:qFormat/>
    <w:uiPriority w:val="0"/>
    <w:pPr>
      <w:keepNext/>
      <w:keepLines/>
      <w:spacing w:after="300" w:before="300"/>
    </w:pPr>
    <w:rPr>
      <w:sz w:val="20"/>
      <w:szCs w:val="20"/>
    </w:rPr>
  </w:style>
  <w:style w:customStyle="1" w:styleId="30" w:type="paragraph">
    <w:name w:val="Bibliography"/>
    <w:basedOn w:val="1"/>
    <w:qFormat/>
    <w:uiPriority w:val="0"/>
  </w:style>
  <w:style w:customStyle="1" w:styleId="31" w:type="table">
    <w:name w:val="Table"/>
    <w:semiHidden/>
    <w:unhideWhenUsed/>
    <w:qFormat/>
    <w:uiPriority w:val="0"/>
    <w:tblPr>
      <w:tblCellMar>
        <w:top w:type="dxa" w:w="0"/>
        <w:left w:type="dxa" w:w="108"/>
        <w:bottom w:type="dxa" w:w="0"/>
        <w:right w:type="dxa" w:w="108"/>
      </w:tblCellMar>
    </w:tblPr>
  </w:style>
  <w:style w:customStyle="1" w:styleId="32" w:type="paragraph">
    <w:name w:val="Definition Term"/>
    <w:basedOn w:val="1"/>
    <w:next w:val="33"/>
    <w:qFormat/>
    <w:uiPriority w:val="0"/>
    <w:pPr>
      <w:keepNext/>
      <w:keepLines/>
      <w:spacing w:after="0"/>
    </w:pPr>
    <w:rPr>
      <w:b/>
    </w:rPr>
  </w:style>
  <w:style w:customStyle="1" w:styleId="33" w:type="paragraph">
    <w:name w:val="Definition"/>
    <w:basedOn w:val="1"/>
    <w:qFormat/>
    <w:uiPriority w:val="0"/>
  </w:style>
  <w:style w:customStyle="1" w:styleId="34" w:type="paragraph">
    <w:name w:val="Table Caption"/>
    <w:basedOn w:val="12"/>
    <w:qFormat/>
    <w:uiPriority w:val="0"/>
    <w:pPr>
      <w:keepNext/>
    </w:pPr>
  </w:style>
  <w:style w:customStyle="1" w:styleId="35" w:type="paragraph">
    <w:name w:val="Image Caption"/>
    <w:basedOn w:val="12"/>
    <w:qFormat/>
    <w:uiPriority w:val="0"/>
  </w:style>
  <w:style w:customStyle="1" w:styleId="36" w:type="paragraph">
    <w:name w:val="Figure"/>
    <w:basedOn w:val="1"/>
    <w:qFormat/>
    <w:uiPriority w:val="0"/>
  </w:style>
  <w:style w:customStyle="1" w:styleId="37" w:type="paragraph">
    <w:name w:val="Captioned Figure"/>
    <w:basedOn w:val="36"/>
    <w:qFormat/>
    <w:uiPriority w:val="0"/>
    <w:pPr>
      <w:keepNext/>
    </w:pPr>
  </w:style>
  <w:style w:customStyle="1" w:styleId="38" w:type="character">
    <w:name w:val="Verbatim Char"/>
    <w:basedOn w:val="24"/>
    <w:link w:val="39"/>
    <w:qFormat/>
    <w:uiPriority w:val="0"/>
    <w:rPr>
      <w:rFonts w:ascii="Consolas" w:hAnsi="Consolas"/>
      <w:sz w:val="22"/>
    </w:rPr>
  </w:style>
  <w:style w:customStyle="1" w:styleId="39" w:type="paragraph">
    <w:name w:val="Source Code"/>
    <w:basedOn w:val="1"/>
    <w:link w:val="38"/>
    <w:qFormat/>
    <w:uiPriority w:val="0"/>
    <w:pPr>
      <w:wordWrap w:val="0"/>
    </w:pPr>
  </w:style>
  <w:style w:customStyle="1" w:styleId="40"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b w:val="0"/>
      <w:bCs w:val="0"/>
      <w:color w:themeColor="accent1" w:themeShade="BF" w:val="366091"/>
    </w:rPr>
  </w:style>
  <w:style w:customStyle="1" w:styleId="41" w:type="character">
    <w:name w:val="KeywordTok"/>
    <w:basedOn w:val="38"/>
    <w:qFormat/>
    <w:uiPriority w:val="0"/>
    <w:rPr>
      <w:b/>
      <w:color w:val="007020"/>
    </w:rPr>
  </w:style>
  <w:style w:customStyle="1" w:styleId="42" w:type="character">
    <w:name w:val="DataTypeTok"/>
    <w:basedOn w:val="38"/>
    <w:qFormat/>
    <w:uiPriority w:val="0"/>
    <w:rPr>
      <w:color w:val="902000"/>
    </w:rPr>
  </w:style>
  <w:style w:customStyle="1" w:styleId="43" w:type="character">
    <w:name w:val="DecValTok"/>
    <w:basedOn w:val="38"/>
    <w:qFormat/>
    <w:uiPriority w:val="0"/>
    <w:rPr>
      <w:color w:val="40A070"/>
    </w:rPr>
  </w:style>
  <w:style w:customStyle="1" w:styleId="44" w:type="character">
    <w:name w:val="BaseNTok"/>
    <w:basedOn w:val="38"/>
    <w:qFormat/>
    <w:uiPriority w:val="0"/>
    <w:rPr>
      <w:color w:val="40A070"/>
    </w:rPr>
  </w:style>
  <w:style w:customStyle="1" w:styleId="45" w:type="character">
    <w:name w:val="FloatTok"/>
    <w:basedOn w:val="38"/>
    <w:qFormat/>
    <w:uiPriority w:val="0"/>
    <w:rPr>
      <w:color w:val="40A070"/>
    </w:rPr>
  </w:style>
  <w:style w:customStyle="1" w:styleId="46" w:type="character">
    <w:name w:val="ConstantTok"/>
    <w:basedOn w:val="38"/>
    <w:qFormat/>
    <w:uiPriority w:val="0"/>
    <w:rPr>
      <w:color w:val="880000"/>
    </w:rPr>
  </w:style>
  <w:style w:customStyle="1" w:styleId="47" w:type="character">
    <w:name w:val="CharTok"/>
    <w:basedOn w:val="38"/>
    <w:qFormat/>
    <w:uiPriority w:val="0"/>
    <w:rPr>
      <w:color w:val="4070A0"/>
    </w:rPr>
  </w:style>
  <w:style w:customStyle="1" w:styleId="48" w:type="character">
    <w:name w:val="SpecialCharTok"/>
    <w:basedOn w:val="38"/>
    <w:qFormat/>
    <w:uiPriority w:val="0"/>
    <w:rPr>
      <w:color w:val="4070A0"/>
    </w:rPr>
  </w:style>
  <w:style w:customStyle="1" w:styleId="49" w:type="character">
    <w:name w:val="StringTok"/>
    <w:basedOn w:val="38"/>
    <w:qFormat/>
    <w:uiPriority w:val="0"/>
    <w:rPr>
      <w:color w:val="4070A0"/>
    </w:rPr>
  </w:style>
  <w:style w:customStyle="1" w:styleId="50" w:type="character">
    <w:name w:val="VerbatimStringTok"/>
    <w:basedOn w:val="38"/>
    <w:qFormat/>
    <w:uiPriority w:val="0"/>
    <w:rPr>
      <w:color w:val="4070A0"/>
    </w:rPr>
  </w:style>
  <w:style w:customStyle="1" w:styleId="51" w:type="character">
    <w:name w:val="SpecialStringTok"/>
    <w:basedOn w:val="38"/>
    <w:qFormat/>
    <w:uiPriority w:val="0"/>
    <w:rPr>
      <w:color w:val="BB6688"/>
    </w:rPr>
  </w:style>
  <w:style w:customStyle="1" w:styleId="52" w:type="character">
    <w:name w:val="ImportTok"/>
    <w:basedOn w:val="38"/>
    <w:qFormat/>
    <w:uiPriority w:val="0"/>
  </w:style>
  <w:style w:customStyle="1" w:styleId="53" w:type="character">
    <w:name w:val="CommentTok"/>
    <w:basedOn w:val="38"/>
    <w:qFormat/>
    <w:uiPriority w:val="0"/>
    <w:rPr>
      <w:i/>
      <w:color w:val="60A0B0"/>
    </w:rPr>
  </w:style>
  <w:style w:customStyle="1" w:styleId="54" w:type="character">
    <w:name w:val="DocumentationTok"/>
    <w:basedOn w:val="38"/>
    <w:qFormat/>
    <w:uiPriority w:val="0"/>
    <w:rPr>
      <w:i/>
      <w:color w:val="BA2121"/>
    </w:rPr>
  </w:style>
  <w:style w:customStyle="1" w:styleId="55" w:type="character">
    <w:name w:val="AnnotationTok"/>
    <w:basedOn w:val="38"/>
    <w:qFormat/>
    <w:uiPriority w:val="0"/>
    <w:rPr>
      <w:b/>
      <w:i/>
      <w:color w:val="60A0B0"/>
    </w:rPr>
  </w:style>
  <w:style w:customStyle="1" w:styleId="56" w:type="character">
    <w:name w:val="CommentVarTok"/>
    <w:basedOn w:val="38"/>
    <w:qFormat/>
    <w:uiPriority w:val="0"/>
    <w:rPr>
      <w:b/>
      <w:i/>
      <w:color w:val="60A0B0"/>
    </w:rPr>
  </w:style>
  <w:style w:customStyle="1" w:styleId="57" w:type="character">
    <w:name w:val="OtherTok"/>
    <w:basedOn w:val="38"/>
    <w:qFormat/>
    <w:uiPriority w:val="0"/>
    <w:rPr>
      <w:color w:val="007020"/>
    </w:rPr>
  </w:style>
  <w:style w:customStyle="1" w:styleId="58" w:type="character">
    <w:name w:val="FunctionTok"/>
    <w:basedOn w:val="38"/>
    <w:qFormat/>
    <w:uiPriority w:val="0"/>
    <w:rPr>
      <w:color w:val="06287E"/>
    </w:rPr>
  </w:style>
  <w:style w:customStyle="1" w:styleId="59" w:type="character">
    <w:name w:val="VariableTok"/>
    <w:basedOn w:val="38"/>
    <w:qFormat/>
    <w:uiPriority w:val="0"/>
    <w:rPr>
      <w:color w:val="19177C"/>
    </w:rPr>
  </w:style>
  <w:style w:customStyle="1" w:styleId="60" w:type="character">
    <w:name w:val="ControlFlowTok"/>
    <w:basedOn w:val="38"/>
    <w:qFormat/>
    <w:uiPriority w:val="0"/>
    <w:rPr>
      <w:b/>
      <w:color w:val="007020"/>
    </w:rPr>
  </w:style>
  <w:style w:customStyle="1" w:styleId="61" w:type="character">
    <w:name w:val="OperatorTok"/>
    <w:basedOn w:val="38"/>
    <w:qFormat/>
    <w:uiPriority w:val="0"/>
    <w:rPr>
      <w:color w:val="666666"/>
    </w:rPr>
  </w:style>
  <w:style w:customStyle="1" w:styleId="62" w:type="character">
    <w:name w:val="BuiltInTok"/>
    <w:basedOn w:val="38"/>
    <w:qFormat/>
    <w:uiPriority w:val="0"/>
  </w:style>
  <w:style w:customStyle="1" w:styleId="63" w:type="character">
    <w:name w:val="ExtensionTok"/>
    <w:basedOn w:val="38"/>
    <w:qFormat/>
    <w:uiPriority w:val="0"/>
  </w:style>
  <w:style w:customStyle="1" w:styleId="64" w:type="character">
    <w:name w:val="PreprocessorTok"/>
    <w:basedOn w:val="38"/>
    <w:uiPriority w:val="0"/>
    <w:rPr>
      <w:color w:val="BC7A00"/>
    </w:rPr>
  </w:style>
  <w:style w:customStyle="1" w:styleId="65" w:type="character">
    <w:name w:val="AttributeTok"/>
    <w:basedOn w:val="38"/>
    <w:uiPriority w:val="0"/>
    <w:rPr>
      <w:color w:val="7D9029"/>
    </w:rPr>
  </w:style>
  <w:style w:customStyle="1" w:styleId="66" w:type="character">
    <w:name w:val="RegionMarkerTok"/>
    <w:basedOn w:val="38"/>
    <w:uiPriority w:val="0"/>
  </w:style>
  <w:style w:customStyle="1" w:styleId="67" w:type="character">
    <w:name w:val="InformationTok"/>
    <w:basedOn w:val="38"/>
    <w:uiPriority w:val="0"/>
    <w:rPr>
      <w:b/>
      <w:i/>
      <w:color w:val="60A0B0"/>
    </w:rPr>
  </w:style>
  <w:style w:customStyle="1" w:styleId="68" w:type="character">
    <w:name w:val="WarningTok"/>
    <w:basedOn w:val="38"/>
    <w:qFormat/>
    <w:uiPriority w:val="0"/>
    <w:rPr>
      <w:b/>
      <w:i/>
      <w:color w:val="60A0B0"/>
    </w:rPr>
  </w:style>
  <w:style w:customStyle="1" w:styleId="69" w:type="character">
    <w:name w:val="AlertTok"/>
    <w:basedOn w:val="38"/>
    <w:qFormat/>
    <w:uiPriority w:val="0"/>
    <w:rPr>
      <w:b/>
      <w:color w:val="FF0000"/>
    </w:rPr>
  </w:style>
  <w:style w:customStyle="1" w:styleId="70" w:type="character">
    <w:name w:val="ErrorTok"/>
    <w:basedOn w:val="38"/>
    <w:qFormat/>
    <w:uiPriority w:val="0"/>
    <w:rPr>
      <w:b/>
      <w:color w:val="FF0000"/>
    </w:rPr>
  </w:style>
  <w:style w:customStyle="1" w:styleId="71" w:type="character">
    <w:name w:val="NormalTok"/>
    <w:basedOn w:val="38"/>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757</Words>
  <Characters>1074</Characters>
  <Lines>12</Lines>
  <Paragraphs>8</Paragraphs>
  <TotalTime>9</TotalTime>
  <ScaleCrop>false</ScaleCrop>
  <LinksUpToDate>false</LinksUpToDate>
  <CharactersWithSpaces>1286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2026-05-29T07:09:45Z</dcterms:created>
  <dcterms:modified xsi:type="dcterms:W3CDTF">2026-05-29T07:09:45Z</dcterms:modified>
</cp:coreProperties>
</file>

<file path=docProps/custom.xml><?xml version="1.0" encoding="utf-8"?>
<Properties xmlns="http://schemas.openxmlformats.org/officeDocument/2006/custom-properties" xmlns:vt="http://schemas.openxmlformats.org/officeDocument/2006/docPropsVTypes"/>
</file>