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23"/>
      </w:pPr>
      <w:r>
        <w:rPr>
          <w:rFonts w:hint="eastAsia"/>
        </w:rPr>
        <w:t xml:space="preserve">极企智能楼宇通行系统研发</w:t>
      </w:r>
      <w:r>
        <w:t xml:space="preserve"> </w:t>
      </w:r>
      <w:r>
        <w:rPr>
          <w:rFonts w:hint="eastAsia"/>
        </w:rPr>
        <w:t xml:space="preserve">技术补充说明</w:t>
      </w:r>
    </w:p>
    <w:p>
      <w:pPr>
        <w:pStyle w:val="3"/>
      </w:pPr>
      <w:r>
        <w:rPr>
          <w:rFonts w:hint="eastAsia"/>
        </w:rPr>
        <w:t xml:space="preserve">项目编号：JQ2024001</w:t>
      </w:r>
    </w:p>
    <w:p>
      <w:pPr>
        <w:pStyle w:val="3"/>
      </w:pPr>
      <w:r>
        <w:rPr>
          <w:rFonts w:hint="eastAsia"/>
        </w:rPr>
        <w:t xml:space="preserve">本补充说明系对已提交的《极企智能楼宇通行系统研发立项报告》中研发内容、核心技术与创新点的进一步深化阐述，旨在更完整地呈现项目研发的技术攻关实质，与原立项报告内容一致，不存在矛盾。</w:t>
      </w:r>
    </w:p>
    <w:p>
      <w:pPr>
        <w:pStyle w:val="3"/>
      </w:pPr>
      <w:r>
        <w:rPr>
          <w:rFonts w:hint="eastAsia"/>
        </w:rPr>
        <w:t xml:space="preserve">一、技术背景与现有技术不足</w:t>
      </w:r>
    </w:p>
    <w:p>
      <w:pPr>
        <w:pStyle w:val="3"/>
      </w:pPr>
      <w:r>
        <w:t xml:space="preserve">1.1 </w:t>
      </w:r>
      <w:r>
        <w:rPr>
          <w:rFonts w:hint="eastAsia"/>
        </w:rPr>
        <w:t xml:space="preserve">行业技术现状</w:t>
      </w:r>
    </w:p>
    <w:p>
      <w:pPr>
        <w:pStyle w:val="3"/>
      </w:pPr>
      <w:r>
        <w:rPr>
          <w:rFonts w:hint="eastAsia"/>
        </w:rPr>
        <w:t xml:space="preserve">智能楼宇通行管理是楼宇安防体系的核心环节。在大型商业楼宇中，通行系统需同时管理门禁控制器、人脸识别终端、二维码扫码器、NFC/IC读卡器、梯控控制器等多种设备类型。以公司部署的杭州望潮中心（280米超高层、57层、12.5万㎡、日均通行超4,500人）为例，涉及以下核心技术挑战：</w:t>
      </w:r>
    </w:p>
    <w:p>
      <w:pPr>
        <w:pStyle w:val="3"/>
      </w:pPr>
      <w:r>
        <w:rPr>
          <w:rFonts w:hint="eastAsia"/>
        </w:rPr>
        <w:t xml:space="preserve">（1）多品牌设备通信协议异构：市面主流门禁/梯控设备分别采用不同的通信方式——部分高端人脸终端（如海康威视DS-K1T671系列、大华DH-ASI系列）支持MQTT协议（异步发布/订阅模式，需管理Topic路由和QoS等级），部分门禁控制器仅提供HTTP</w:t>
      </w:r>
      <w:r>
        <w:t xml:space="preserve"> RESTful </w:t>
      </w:r>
      <w:r>
        <w:rPr>
          <w:rFonts w:hint="eastAsia"/>
        </w:rPr>
        <w:t xml:space="preserve">API（同步请求/响应模式），部分传统梯控和读卡器仅支持RS485串口通信（原始字节帧，需处理波特率、校验位、寄存器地址映射）。数据格式、指令集、状态上报机制互不兼容，无法实现跨品牌设备的统一管控；</w:t>
      </w:r>
    </w:p>
    <w:p>
      <w:pPr>
        <w:pStyle w:val="3"/>
      </w:pPr>
      <w:r>
        <w:rPr>
          <w:rFonts w:hint="eastAsia"/>
        </w:rPr>
        <w:t xml:space="preserve">（2）多模态核验方式缺乏统一调度：现代楼宇通行场景中，不同出入口配置的核验终端类型差异显著——大堂主入口配置人脸识别终端（如海康威视DS-K1T671系列，支持人脸+二维码双模态），侧门/消防通道配置IC/NFC读卡器（仅支持刷卡），电梯厅配置人脸终端或二维码扫码器。人脸识别、二维码、NFC/IC卡三种核验方式由不同终端设备分别处理，缺乏统一的核验调度引擎，难以在同一通行场景中灵活切换和组合验证，更缺乏核验失败时的降级容错机制（如强光/逆光导致人脸识别失败时自动切换为二维码核验）；</w:t>
      </w:r>
    </w:p>
    <w:p>
      <w:pPr>
        <w:pStyle w:val="3"/>
      </w:pPr>
      <w:r>
        <w:rPr>
          <w:rFonts w:hint="eastAsia"/>
        </w:rPr>
        <w:t xml:space="preserve">（3）门禁与梯控系统分立运行：传统方案中门禁系统和梯控系统独立部署、分别管理——人员入职需在门禁系统中录入权限，再到梯控系统中另行配置楼层权限。门禁放行后无法自动基于异步事件驱动的跨系统状态机同步电梯，用户需再次刷卡选层，通行体验割裂。更深层的技术问题在于门禁控制器和梯控控制器来自不同厂商，通信协议和控制逻辑完全不同，实现”刷脸通行+自动派梯”的无感体验需要在两个独立系统间建立可靠的时序基于异步事件驱动的跨系统状态机同步机制。</w:t>
      </w:r>
    </w:p>
    <w:p>
      <w:pPr>
        <w:pStyle w:val="3"/>
      </w:pPr>
      <w:r>
        <w:t xml:space="preserve">1.2 </w:t>
      </w:r>
      <w:r>
        <w:rPr>
          <w:rFonts w:hint="eastAsia"/>
        </w:rPr>
        <w:t xml:space="preserve">现有技术方案的不足</w:t>
      </w:r>
    </w:p>
    <w:p>
      <w:pPr>
        <w:pStyle w:val="3"/>
      </w:pPr>
      <w:r>
        <w:rPr>
          <w:rFonts w:hint="eastAsia"/>
        </w:rPr>
        <w:t xml:space="preserve">（1）大型楼宇门禁通行达到日均15万次，并且业务需求复杂，如高峰期通行，各级访客放行策略，人员存留大楼快速分析，黑名单人员管理。通行日志反推考勤数据。</w:t>
      </w:r>
    </w:p>
    <w:p>
      <w:pPr>
        <w:pStyle w:val="3"/>
      </w:pPr>
      <w:r>
        <w:rPr>
          <w:rFonts w:hint="eastAsia"/>
        </w:rPr>
        <w:t xml:space="preserve">（2）现有通行管理方案多绑定单一品牌或限定型号的设备生态，扩展新品牌需要该厂商提供SDK或重新开发协议语义映射与解构模块，无法实现真正的跨品牌统一管控；</w:t>
      </w:r>
    </w:p>
    <w:p>
      <w:pPr>
        <w:pStyle w:val="3"/>
      </w:pPr>
      <w:r>
        <w:rPr>
          <w:rFonts w:hint="eastAsia"/>
        </w:rPr>
        <w:t xml:space="preserve">（3）通行权限无法跨设备统一配置——门禁授权与梯控授权分离，人员变动时需在两个系统中分别操作，存在权限遗漏风险（如员工离职后门禁权限已回收但梯控权限未同步清理）；</w:t>
      </w:r>
    </w:p>
    <w:p>
      <w:pPr>
        <w:pStyle w:val="3"/>
      </w:pPr>
      <w:r>
        <w:rPr>
          <w:rFonts w:hint="eastAsia"/>
        </w:rPr>
        <w:t xml:space="preserve">（4）多模态核验终端各自为政——人脸终端、二维码扫码器、IC读卡器独立工作，缺乏统一的核验调度和降级容错机制，单一核验方式故障即导致该通道完全失效；</w:t>
      </w:r>
    </w:p>
    <w:p>
      <w:pPr>
        <w:pStyle w:val="3"/>
      </w:pPr>
      <w:r>
        <w:rPr>
          <w:rFonts w:hint="eastAsia"/>
        </w:rPr>
        <w:t xml:space="preserve">（5）门禁与梯控之间缺乏基于异步事件驱动的跨系统状态机同步机制，无法实现”一次核验、全程通行”的无感体验。</w:t>
      </w:r>
    </w:p>
    <w:p>
      <w:pPr>
        <w:pStyle w:val="3"/>
      </w:pPr>
      <w:r>
        <w:rPr>
          <w:rFonts w:hint="eastAsia"/>
        </w:rPr>
        <w:t xml:space="preserve">二、核心技术攻关详述</w:t>
      </w:r>
    </w:p>
    <w:p>
      <w:pPr>
        <w:pStyle w:val="3"/>
      </w:pPr>
      <w:r>
        <w:t xml:space="preserve">2.1 </w:t>
      </w:r>
      <w:r>
        <w:rPr>
          <w:rFonts w:hint="eastAsia"/>
        </w:rPr>
        <w:t xml:space="preserve">多模态通行核验调度引擎</w:t>
      </w:r>
    </w:p>
    <w:p>
      <w:pPr>
        <w:pStyle w:val="3"/>
      </w:pPr>
      <w:r>
        <w:rPr>
          <w:rFonts w:hint="eastAsia"/>
        </w:rPr>
        <w:t xml:space="preserve">技术难点：楼宇通行场景中，不同出入口配置的核验终端类型不同——大堂主入口闸机配置人脸识别终端（如海康威视DS-K1T671系列，支持人脸+二维码双模态），侧门/消防通道配置IC/NFC读卡器（仅支持刷卡），电梯厅配置人脸终端或二维码扫码器。核心难点在于：①不同类型终端的通信协议和指令格式不同——人脸终端通常走MQTT协议（异步消息、需管理QoS和Topic路由），IC读卡器走RS485串口（原始字节帧、需处理波特率和校验），二维码扫码器走HTTP（同步请求/响应），需在服务端设计统一的核验调度框架，将不同终端的核验请求标准化处理；②需支持核验方式的动态选择和降级容错——在强光/逆光/遮挡等导致人脸识别失败时，自动切换为二维码或NFC核验，降级策略需兼顾安全性和通行效率；③需兼容不同品牌人脸终端的特征值格式差异（各厂商特征提取算法不同，特征值维度和编码格式不统一），确保同一人员的人脸特征值能正确下发到不同品牌终端。</w:t>
      </w:r>
    </w:p>
    <w:p>
      <w:pPr>
        <w:pStyle w:val="3"/>
      </w:pPr>
      <w:r>
        <w:rPr>
          <w:rFonts w:hint="eastAsia"/>
        </w:rPr>
        <w:t xml:space="preserve">技术路线：设计了多模态核验调度引擎（Multimodal</w:t>
      </w:r>
      <w:r>
        <w:t xml:space="preserve"> Verification Dispatch </w:t>
      </w:r>
      <w:r>
        <w:rPr>
          <w:rFonts w:hint="eastAsia"/>
        </w:rPr>
        <w:t xml:space="preserve">Engine），将不同核验方式的处理流程抽象为统一的核验管道（Pipeline）：</w:t>
      </w:r>
    </w:p>
    <w:p>
      <w:pPr>
        <w:pStyle w:val="3"/>
      </w:pPr>
      <w:r>
        <w:rPr>
          <w:rFonts w:hint="eastAsia"/>
        </w:rPr>
        <w:t xml:space="preserve">核验请求统一入口：所有终端的核验请求（人脸比对结果上报/二维码校验请求/NFC卡号校验请求）经各自协议语义映射与解构层解析后，统一转换为标准核验请求对象（含人员标识、核验方式、设备ID、时间戳、现场抓拍照片URL），进入调度引擎处理；</w:t>
      </w:r>
    </w:p>
    <w:p>
      <w:pPr>
        <w:pStyle w:val="3"/>
      </w:pPr>
      <w:r>
        <w:rPr>
          <w:rFonts w:hint="eastAsia"/>
        </w:rPr>
        <w:t xml:space="preserve">凭证注册与核验策略路由：人员在系统中注册通行凭证（人脸照片→特征值提取和格式转换与语义映射、二维码→动态生成与加密、NFC/IC卡号→绑定），调度引擎维护每个人员的可用凭证类型集合。核验时引擎根据人员注册的凭证类型和目标设备的支持能力，动态选择主核验方式和备用降级路径；</w:t>
      </w:r>
    </w:p>
    <w:p>
      <w:pPr>
        <w:pStyle w:val="3"/>
      </w:pPr>
      <w:r>
        <w:rPr>
          <w:rFonts w:hint="eastAsia"/>
        </w:rPr>
        <w:t xml:space="preserve">三级降级容错链：主核验方式（人脸识别）→</w:t>
      </w:r>
      <w:r>
        <w:t xml:space="preserve"> </w:t>
      </w:r>
      <w:r>
        <w:rPr>
          <w:rFonts w:hint="eastAsia"/>
        </w:rPr>
        <w:t xml:space="preserve">第一降级（二维码扫码）→</w:t>
      </w:r>
      <w:r>
        <w:t xml:space="preserve"> </w:t>
      </w:r>
      <w:r>
        <w:rPr>
          <w:rFonts w:hint="eastAsia"/>
        </w:rPr>
        <w:t xml:space="preserve">第二降级（NFC/IC卡刷卡）。降级触发条件包括：终端上报核验失败、核验请求超时、终端设备离线/故障。降级后系统自动提示用户使用备用核验方式（如闸机屏幕显示”请使用二维码扫码”）；</w:t>
      </w:r>
    </w:p>
    <w:p>
      <w:pPr>
        <w:pStyle w:val="3"/>
      </w:pPr>
      <w:r>
        <w:rPr>
          <w:rFonts w:hint="eastAsia"/>
        </w:rPr>
        <w:t xml:space="preserve">人脸质量前置检测：人员人脸照片上传时系统自动执行质量检测——检测角度（偏转角、俯仰角）、光照均匀度、遮挡检测（墨镜/口罩/大面积阴影），不符合要求的照片提示重新上传，从源头保证核验质量。通行时人脸终端比对结果通过MQTT上报，系统记录通行日志并展示注册底图与现场抓拍图对比，确保人证合一。</w:t>
      </w:r>
    </w:p>
    <w:p>
      <w:pPr>
        <w:pStyle w:val="3"/>
      </w:pPr>
      <w:r>
        <w:rPr>
          <w:rFonts w:hint="eastAsia"/>
        </w:rPr>
        <w:t xml:space="preserve">攻关过程：初期各类型终端的核验逻辑完全独立实现——人脸核验模块处理MQTT消息、二维码核验模块处理HTTP请求、IC卡核验模块处理RS485数据帧——代码重复度高（三个模块均实现了人员查找、权限校验、通行日志记录等相同逻辑），新增一种核验方式需要完整开发一套核验流程。后抽象为统一的核验调度引擎架构，将公共逻辑抽取到引擎层，各核验方式仅需实现协议语义映射与解构和凭证校验两个接口。</w:t>
      </w:r>
    </w:p>
    <w:p>
      <w:pPr>
        <w:pStyle w:val="3"/>
      </w:pPr>
      <w:r>
        <w:rPr>
          <w:rFonts w:hint="eastAsia"/>
        </w:rPr>
        <w:t xml:space="preserve">在实测中发现，不同品牌人脸终端的特征值格式不统一——海康威视DS-K1T671系列采用512维浮点特征向量，大华DH-ASI系列采用256维整型特征向量——需在调度层增加特征值格式转换与语义映射模块，建立统一的人员特征值存储格式和各品牌终端的格式映射表。人脸照片的质量检测（角度、光照、遮挡）也需在录入环节自动校验，确保特征提取质量符合终端识别算法要求。</w:t>
      </w:r>
    </w:p>
    <w:p>
      <w:pPr>
        <w:pStyle w:val="3"/>
      </w:pPr>
      <w:r>
        <w:rPr>
          <w:rFonts w:hint="eastAsia"/>
        </w:rPr>
        <w:t xml:space="preserve">技术效果：支持人脸/二维码/NFC三种核验方式的统一调度和三级降级切换。核验请求端到端处理延迟≤[X]ms（不含终端识别时间），权限下发延迟≤[X]秒。高并发场景（早高峰[X]人/分钟同时通行）下系统稳定运行。已在望潮中心部署验证，日均处理通行事件[X]次。</w:t>
      </w:r>
    </w:p>
    <w:p>
      <w:pPr>
        <w:pStyle w:val="3"/>
      </w:pPr>
      <w:r>
        <w:rPr>
          <w:rFonts w:hint="eastAsia"/>
        </w:rPr>
        <w:t xml:space="preserve">【说明】本项目的多模态核验调度技术侧重于服务端的核验方式统一调度、权限下发管理和降级容错控制。人脸识别算法本身采用终端设备内置算法（各品牌人脸终端自带识别引擎），本项目未自研人脸识别算法。本项目的技术创新点在于”调度”——将三种通信协议不同、核验逻辑不同的通行方式统一到一套Pipeline中调度管理，并实现跨方式的降级容错。</w:t>
      </w:r>
    </w:p>
    <w:p>
      <w:pPr>
        <w:pStyle w:val="3"/>
      </w:pPr>
      <w:r>
        <w:t xml:space="preserve">2.2 </w:t>
      </w:r>
      <w:r>
        <w:rPr>
          <w:rFonts w:hint="eastAsia"/>
        </w:rPr>
        <w:t xml:space="preserve">基于差集计算与三层冗余的权限分布式一致性保障技术</w:t>
      </w:r>
    </w:p>
    <w:p>
      <w:pPr>
        <w:pStyle w:val="3"/>
      </w:pPr>
      <w:r>
        <w:rPr>
          <w:rFonts w:hint="eastAsia"/>
        </w:rPr>
        <w:t xml:space="preserve">技术难点：楼宇内门禁控制器、人脸识别终端、梯控控制器来自不同厂商（望潮中心涉及海康威视、大华、宇视等多个品牌），通信方式异构——部分走MQTT协议（需管理长连接心跳和QoS）、部分走HTTP</w:t>
      </w:r>
      <w:r>
        <w:t xml:space="preserve"> RESTful </w:t>
      </w:r>
      <w:r>
        <w:rPr>
          <w:rFonts w:hint="eastAsia"/>
        </w:rPr>
        <w:t xml:space="preserve">API（短连接请求/响应）、部分仅支持RS485串口（原始字节帧，需处理波特率9600/115200、校验位、寄存器地址映射）。核心挑战在于：当人员权限发生变更（入职/离职/部门调整/临时授权）时，如何在百万级权限记录的规模下，精确计算变更影响的设备范围（差集计算），并在异构网络环境中可靠地将变更指令下发至所有关联设备，确保各设备端的权限状态与服务端最终一致。这不是简单的”数据同步”问题——各品牌设备的指令接口、响应模式、离线恢复机制完全不同，任何一个环节的丢失或重复都可能导致权限漏洞。</w:t>
      </w:r>
    </w:p>
    <w:p>
      <w:pPr>
        <w:pStyle w:val="3"/>
      </w:pPr>
      <w:r>
        <w:rPr>
          <w:rFonts w:hint="eastAsia"/>
        </w:rPr>
        <w:t xml:space="preserve">技术路线：设计了”差集计算+确认重试+边缘缓存恢复”三层冗余保障协议——</w:t>
      </w:r>
    </w:p>
    <w:p>
      <w:pPr>
        <w:pStyle w:val="3"/>
      </w:pPr>
      <w:r>
        <w:rPr>
          <w:rFonts w:hint="eastAsia"/>
        </w:rPr>
        <w:t xml:space="preserve">第一层——权限差集精确计算引擎：人员权限变更时，系统不执行全量权限复写（全量方案在百万级记录规模下网络传输和写入耗时不可接受），而是精确计算变更前后的权限差集。算法以”人员×设备”矩阵为计算域——将变更前权限集合A与变更后权限集合B进行二进制差分比对（Set</w:t>
      </w:r>
      <w:r>
        <w:t xml:space="preserve"> </w:t>
      </w:r>
      <w:r>
        <w:rPr>
          <w:rFonts w:hint="eastAsia"/>
        </w:rPr>
        <w:t xml:space="preserve">Difference），输出三类操作指令：新增权限（B−A，生成设备”下发”指令）、撤销权限（A−B，生成设备”回收”指令）、不变权限（A∩B，不产生任何指令）。以望潮中心实际规模为例——管理门禁/梯控设备逾百台、有效权限记录百万级——单次人员入职事件（如新增一个员工，需授权20个通行点）的差集计算仅产生20条下发指令，而非全量复写方案所需的数千条指令，网络传输量降低两个数量级以上。差集计算算法需处理”全员默认权限+个人额外权限+部门继承权限+临时授权”的多层权限叠加逻辑，确保变更后权限集合计算的正确性；</w:t>
      </w:r>
    </w:p>
    <w:p>
      <w:pPr>
        <w:pStyle w:val="3"/>
      </w:pPr>
      <w:r>
        <w:rPr>
          <w:rFonts w:hint="eastAsia"/>
        </w:rPr>
        <w:t xml:space="preserve">第二层——可靠分发与确认重试机制：差集计算结果中的每一条变更指令，经设备对应的通信通道（MQTT/HTTP/RS485）下发至目标设备。下发采用异步并行模式——同一人员的多条指令同时发送至不同设备，互不阻塞。设备执行后回传确认（ACK），系统记录每一条指令的执行状态。未收到ACK的指令进入指数退避重试队列——首次重试间隔1秒，之后依次2秒、4秒、8秒，最多重试5次；超过重试上限的指令升级为告警事件，通知运维人员手动核查处理。该机制已在望潮中心的长期运行中验证——设备瞬时网络抖动（如交换机端口flapping导致的数百毫秒丢包）由重试队列自动吸收，运维人员无需介入；</w:t>
      </w:r>
    </w:p>
    <w:p>
      <w:pPr>
        <w:pStyle w:val="3"/>
      </w:pPr>
      <w:r>
        <w:rPr>
          <w:rFonts w:hint="eastAsia"/>
        </w:rPr>
        <w:t xml:space="preserve">第三层——边缘缓存与断点续传恢复：设备长时间离线期间（网络中断/设备重启/固件升级），该设备的所有待处理变更指令缓存在服务端持久化消息队列中（按设备ID分区、时间戳排序）。设备恢复在线（心跳恢复）后，服务端自动触发”断点续传”流程——拉取该设备离线窗口内的全部待处理指令，按原始时序依次补发。补发完成后执行全量校验——逐条对比设备端实际权限列表与服务端应有权限列表，发现差异（多出/缺失）自动修正。全量校验作为三层协议的最后一道防线，确保即使前两层出现不可恢复的异常（如ACK消息丢失导致指令状态记录错误），最终仍能收敛到一致状态。</w:t>
      </w:r>
    </w:p>
    <w:p>
      <w:pPr>
        <w:pStyle w:val="3"/>
      </w:pPr>
      <w:r>
        <w:rPr>
          <w:rFonts w:hint="eastAsia"/>
        </w:rPr>
        <w:t xml:space="preserve">攻关过程：初期采用逐设备串行下发权限变更指令的方案——单个设备HTTP超时（默认30秒）会阻塞整个批量操作队列。在望潮中心早高峰场景的高并发压力仿真试验中，百台设备级别的权限批量更新耗时达分钟级，严重影响运维效率。后重构为异步并行下发+独立确认的机制——所有指令同时发出，各自独立等待ACK和重试，批量操作整体耗时从分钟级降至秒级。</w:t>
      </w:r>
    </w:p>
    <w:p>
      <w:pPr>
        <w:pStyle w:val="3"/>
      </w:pPr>
      <w:r>
        <w:rPr>
          <w:rFonts w:hint="eastAsia"/>
        </w:rPr>
        <w:t xml:space="preserve">在协议语义映射与解构过程中，发现某品牌门禁控制器的HTTP</w:t>
      </w:r>
      <w:r>
        <w:t xml:space="preserve"> </w:t>
      </w:r>
      <w:r>
        <w:rPr>
          <w:rFonts w:hint="eastAsia"/>
        </w:rPr>
        <w:t xml:space="preserve">API文档与实测行为存在差异——部分响应字段在文档中标注为必返回，但特定固件版本（v2.3.4以下）不返回该字段，导致解析异常。需在协议语义映射与解构代码中增加字段缺失的兼容处理，按”先检测字段存在性→存在则解析→不存在则使用默认值”的防御式编程模式重构解析逻辑。此类非标准行为在不同品牌、不同固件版本间普遍存在，构成了协议语义映射与解构工作的核心不确定性。</w:t>
      </w:r>
    </w:p>
    <w:p>
      <w:pPr>
        <w:pStyle w:val="3"/>
      </w:pPr>
      <w:r>
        <w:rPr>
          <w:rFonts w:hint="eastAsia"/>
        </w:rPr>
        <w:t xml:space="preserve">技术效果：已独立完成多个品牌门禁/梯控设备的协议语义映射与解构。权限增量同步端到端延迟≤[X]秒（从权限变更操作到所有关联设备执行完毕）。设备离线恢复后权限自动补发成功率100%（1,000次高并发压力仿真试验，0次遗漏）。系统已在望潮中心实际运行，管理门禁/梯控设备[X]台，日均处理权限变更事件[X]次。</w:t>
      </w:r>
    </w:p>
    <w:p>
      <w:pPr>
        <w:pStyle w:val="3"/>
      </w:pPr>
      <w:r>
        <w:t xml:space="preserve">2.3 </w:t>
      </w:r>
      <w:r>
        <w:rPr>
          <w:rFonts w:hint="eastAsia"/>
        </w:rPr>
        <w:t xml:space="preserve">基于启发式规则的门禁-梯控跨系统状态机同步派梯技术（DCS目的选层）</w:t>
      </w:r>
    </w:p>
    <w:p>
      <w:pPr>
        <w:pStyle w:val="3"/>
      </w:pPr>
      <w:r>
        <w:rPr>
          <w:rFonts w:hint="eastAsia"/>
        </w:rPr>
        <w:t xml:space="preserve">技术难点：实现门禁闸机与电梯控制系统的深度基于异步事件驱动的跨系统状态机同步——人员通过大堂闸机完成身份核验后，系统需根据其权限组自动判断目标楼层，基于异步事件驱动的跨系统状态机同步电梯控制系统完成DCS（Destination</w:t>
      </w:r>
      <w:r>
        <w:t xml:space="preserve"> Control </w:t>
      </w:r>
      <w:r>
        <w:rPr>
          <w:rFonts w:hint="eastAsia"/>
        </w:rPr>
        <w:t xml:space="preserve">System）目的选层派梯。不同于简单的”闸机开门→发固定楼层号给电梯”的一对一映射，超高层建筑（望潮中心57层）的DCS派梯面临多维约束下的实时优化决策问题：①多台电梯（望潮中心配置8台客梯，分低区1-20F、中区21-38F、高区39-57F三组）的实时状态——当前所在楼层、运行方向（上行/下行/空闲）、轿厢内已有乘客数（负载率）、是否已有同楼层派梯任务——构成一个动态变化的决策空间；②网络传输延迟不可忽略——从闸机核验完成到派梯指令到达电梯控制器的网络往返时间（通常50-200ms，网络抖动时可达500ms以上）直接影响用户体验，需在算法中作为约束条件纳入计算；③不同人员类型的乘梯优先级不同——VIP/高管享有优先派梯权（减少候梯时间），访客仅能到达被访楼层（单楼层限制），员工按权限组分配到对应办公楼层。</w:t>
      </w:r>
    </w:p>
    <w:p>
      <w:pPr>
        <w:pStyle w:val="3"/>
      </w:pPr>
      <w:r>
        <w:rPr>
          <w:rFonts w:hint="eastAsia"/>
        </w:rPr>
        <w:t xml:space="preserve">技术路线：设计了基于启发式规则的派梯决策引擎（Heuristic-Rule</w:t>
      </w:r>
      <w:r>
        <w:t xml:space="preserve"> Elevator Dispatch </w:t>
      </w:r>
      <w:r>
        <w:rPr>
          <w:rFonts w:hint="eastAsia"/>
        </w:rPr>
        <w:t xml:space="preserve">Engine），将派梯问题建模为多约束条件下的实时优化决策——</w:t>
      </w:r>
    </w:p>
    <w:p>
      <w:pPr>
        <w:pStyle w:val="3"/>
      </w:pPr>
      <w:r>
        <w:rPr>
          <w:rFonts w:hint="eastAsia"/>
        </w:rPr>
        <w:t xml:space="preserve">实时状态感知层：通过MQTT/HTTP轮询（自适应频率——高峰时段1次/秒，平峰时段1次/5秒）采集各台电梯的实时运行数据——当前楼层（从电梯控制器寄存器读取）、运行方向（上行/下行/空闲，由连续两次楼层读数差推断）、轿厢负载（从电梯称重传感器读取，换算为人数百分比）、已派梯任务队列（本系统下发但尚未完成的派梯任务，用于避免重复派梯）。网络延迟实时测量——通过周期性心跳包的往返时间（RTT）计算各电梯控制器的当前网络延迟，作为派梯决策的输入参数；</w:t>
      </w:r>
    </w:p>
    <w:p>
      <w:pPr>
        <w:pStyle w:val="3"/>
      </w:pPr>
      <w:r>
        <w:rPr>
          <w:rFonts w:hint="eastAsia"/>
        </w:rPr>
        <w:t xml:space="preserve">启发式规则决策层：派梯决策不采用需要大量训练数据的机器学习模型，而是基于领域专家知识设计的启发式规则集（Heuristic</w:t>
      </w:r>
      <w:r>
        <w:t xml:space="preserve"> Rule </w:t>
      </w:r>
      <w:r>
        <w:rPr>
          <w:rFonts w:hint="eastAsia"/>
        </w:rPr>
        <w:t xml:space="preserve">Set），规则按优先级顺序匹配：</w:t>
      </w:r>
    </w:p>
    <w:p>
      <w:pPr>
        <w:pStyle w:val="24"/>
        <w:numPr>
          <w:ilvl w:val="0"/>
          <w:numId w:val="1001"/>
        </w:numPr>
      </w:pPr>
      <w:r>
        <w:rPr>
          <w:rFonts w:hint="eastAsia"/>
        </w:rPr>
        <w:t xml:space="preserve">规则1（最高优先级——VIP优先）：若通行人员为VIP类型（高管/重要访客），优先分配当前负载最低且预计到达首层时间最短的电梯（综合考虑当前楼层距离+运行方向+中途停靠次数），减少VIP候梯时间；</w:t>
      </w:r>
    </w:p>
    <w:p>
      <w:pPr>
        <w:pStyle w:val="24"/>
        <w:numPr>
          <w:ilvl w:val="0"/>
          <w:numId w:val="1001"/>
        </w:numPr>
      </w:pPr>
      <w:r>
        <w:rPr>
          <w:rFonts w:hint="eastAsia"/>
        </w:rPr>
        <w:t xml:space="preserve">规则2（区域分组匹配）：根据人员的目标楼层确定电梯分组——低区楼层（1-20F）优先分配低区电梯、中区楼层（21-38F）优先分配中区电梯、高区楼层（39-57F）优先分配高区电梯——避免跨区派梯导致的其他乘客等待时间增加；</w:t>
      </w:r>
    </w:p>
    <w:p>
      <w:pPr>
        <w:pStyle w:val="24"/>
        <w:numPr>
          <w:ilvl w:val="0"/>
          <w:numId w:val="1001"/>
        </w:numPr>
      </w:pPr>
      <w:r>
        <w:rPr>
          <w:rFonts w:hint="eastAsia"/>
        </w:rPr>
        <w:t xml:space="preserve">规则3（负载均衡）：在满足区域匹配的候选电梯中，选择当前负载率最低的电梯，避免单台电梯过载而其他电梯空闲；</w:t>
      </w:r>
    </w:p>
    <w:p>
      <w:pPr>
        <w:pStyle w:val="24"/>
        <w:numPr>
          <w:ilvl w:val="0"/>
          <w:numId w:val="1001"/>
        </w:numPr>
      </w:pPr>
      <w:r>
        <w:rPr>
          <w:rFonts w:hint="eastAsia"/>
        </w:rPr>
        <w:t xml:space="preserve">规则4（同层合并）：若候选电梯中已有派往相同目标楼层的任务，优先将当前人员分配至该电梯（减少电梯停靠次数，提升整体运输效率）；</w:t>
      </w:r>
    </w:p>
    <w:p>
      <w:pPr>
        <w:pStyle w:val="24"/>
        <w:numPr>
          <w:ilvl w:val="0"/>
          <w:numId w:val="1001"/>
        </w:numPr>
      </w:pPr>
      <w:r>
        <w:rPr>
          <w:rFonts w:hint="eastAsia"/>
        </w:rPr>
        <w:t xml:space="preserve">规则5（最短到达时间）：综合计算每台候选电梯到达首层的预估时间（当前楼层→运行至首层的预估耗时，含中途已派梯的停靠时间+网络延迟+开门时间），选择预估到达时间最短的电梯；</w:t>
      </w:r>
    </w:p>
    <w:p>
      <w:pPr>
        <w:pStyle w:val="23"/>
      </w:pPr>
      <w:r>
        <w:rPr>
          <w:rFonts w:hint="eastAsia"/>
        </w:rPr>
        <w:t xml:space="preserve">楼层编码语义映射层：不同品牌梯控系统的楼层编码规则完全不同——海康威视梯控使用逻辑楼层号（1,2,3…），某进口品牌使用16进制物理楼层偏移码（如15F→</w:t>
      </w:r>
      <w:r>
        <w:t xml:space="preserve">“0F0E”</w:t>
      </w:r>
      <w:r>
        <w:rPr>
          <w:rFonts w:hint="eastAsia"/>
        </w:rPr>
        <w:t xml:space="preserve">），还有品牌通过RS485连接电梯群控器、需模拟电梯内选按钮信号。系统维护物理楼层→各品牌逻辑编码的双向映射表（Floor</w:t>
      </w:r>
      <w:r>
        <w:t xml:space="preserve"> Code Mapping </w:t>
      </w:r>
      <w:r>
        <w:rPr>
          <w:rFonts w:hint="eastAsia"/>
        </w:rPr>
        <w:t xml:space="preserve">Table），派梯决策结果经映射表转换为对应品牌的控制指令格式后下发；</w:t>
      </w:r>
    </w:p>
    <w:p>
      <w:pPr>
        <w:pStyle w:val="3"/>
      </w:pPr>
      <w:r>
        <w:rPr>
          <w:rFonts w:hint="eastAsia"/>
        </w:rPr>
        <w:t xml:space="preserve">基于异步事件驱动的跨系统状态机同步时序控制：①人员通过闸机，人脸识别成功→②闸机放行（开闸信号）→③系统异步触发派梯决策（并行查询人员权限组、目标楼层、电梯实时状态、网络延迟）→④启发式规则引擎在[X]ms内完成最优电梯选择→⑤生成品牌特定的派梯指令发送至目标电梯控制器→⑥电梯控制器确认接收并调度电梯至首层→⑦用户步行至电梯厅，电梯已就位。步骤①-⑤需在秒级内完成，步骤③-④的计算延迟直接决定用户体验。</w:t>
      </w:r>
    </w:p>
    <w:p>
      <w:pPr>
        <w:pStyle w:val="3"/>
      </w:pPr>
      <w:r>
        <w:rPr>
          <w:rFonts w:hint="eastAsia"/>
        </w:rPr>
        <w:t xml:space="preserve">攻关过程：不同品牌梯控系统的楼层编码规则不统一——有的直接用数字（1,2,3…），有的用16进制物理楼层码（需对照电梯厂家提供的楼层偏移表逐一建立映射），需在协议语义映射与解构层为每种品牌维护独立的楼层映射表。某进口品牌梯控的楼层偏移表仅在原厂工程师手册中有记载，需通过逐一测试每个楼层编码的实际响应来反推映射关系。</w:t>
      </w:r>
    </w:p>
    <w:p>
      <w:pPr>
        <w:pStyle w:val="3"/>
      </w:pPr>
      <w:r>
        <w:rPr>
          <w:rFonts w:hint="eastAsia"/>
        </w:rPr>
        <w:t xml:space="preserve">派梯指令的时序控制经过了多轮高并发压力仿真试验调优——闸机过早放行而电梯未到位，用户到电梯厅后需要等待（体验断裂）；闸机过晚放行则影响通行效率（大堂拥堵）。经反复调优，确定了”先放行→异步派梯”的时序策略——核验通过即放行（不等待派梯结果），派梯指令异步发送，用户在步行至电梯厅的途中（约5-8秒）电梯已在调度中。</w:t>
      </w:r>
    </w:p>
    <w:p>
      <w:pPr>
        <w:pStyle w:val="3"/>
      </w:pPr>
      <w:r>
        <w:rPr>
          <w:rFonts w:hint="eastAsia"/>
        </w:rPr>
        <w:t xml:space="preserve">高峰时段的并发派梯高并发压力仿真试验中发现，高并发通行时某品牌电梯控制器的RS485串口指令缓冲队列可能溢出（缓冲区仅128字节，单条派梯指令约40字节，约3条指令即可能溢出），导致指令丢失。后设计了指令排队+流量整形机制——同时到达的派梯请求按固定间隔（200ms/条）逐个发送至电梯控制器，确保不超过其串口缓冲区容量，避免指令丢失。</w:t>
      </w:r>
    </w:p>
    <w:p>
      <w:pPr>
        <w:pStyle w:val="3"/>
      </w:pPr>
      <w:r>
        <w:rPr>
          <w:rFonts w:hint="eastAsia"/>
        </w:rPr>
        <w:t xml:space="preserve">技术效果：已独立完成多个品牌梯控系统的协议语义映射与解构。闸机核验→闸机放行→电梯就位的全链路基于异步事件驱动的跨系统状态机同步延迟≤[X]秒。启发式规则引擎的派梯决策计算耗时≤[X]ms（从核验完成到派梯指令发出）。已在望潮中心上线，实现57层超高层建筑的”一次核验、全程通行”无感体验。</w:t>
      </w:r>
    </w:p>
    <w:p>
      <w:pPr>
        <w:pStyle w:val="3"/>
      </w:pPr>
      <w:r>
        <w:rPr>
          <w:rFonts w:hint="eastAsia"/>
        </w:rPr>
        <w:t xml:space="preserve">三、技术不确定性说明</w:t>
      </w:r>
    </w:p>
    <w:p>
      <w:pPr>
        <w:pStyle w:val="3"/>
      </w:pPr>
      <w:r>
        <w:rPr>
          <w:rFonts w:hint="eastAsia"/>
        </w:rPr>
        <w:t xml:space="preserve">（1）【架构推翻重构——本项目最核心的研发风险印证】项目初期采用”直接集成各品牌设备原生API”的技术方案——每个品牌的门禁/梯控设备使用其厂商提供的原生HTTP</w:t>
      </w:r>
      <w:r>
        <w:t xml:space="preserve"> </w:t>
      </w:r>
      <w:r>
        <w:rPr>
          <w:rFonts w:hint="eastAsia"/>
        </w:rPr>
        <w:t xml:space="preserve">API或SDK进行通信，系统仅做一层薄的RESTful封装。该方案在实验室环境（3-5台设备、单用户操作）下运行正常，但在望潮中心实际部署后暴露了严重问题：当并发核验请求超过50次/秒（早高峰大堂闸机多人同时通行的典型负载），多品牌设备的原生API响应时间呈指数级增长——从正常状态下的80-120ms飙升至5-8秒，系统频繁出现API超时和请求堆积，CPU利用率飙升至95%以上，最终导致核验服务不可用（服务假死，需手动重启恢复）。根因分析发现：①各品牌设备的原生API均为同步阻塞模式，HTTP连接池耗尽后新请求排队等待，形成级联阻塞；②不同品牌API的响应时间差异大（某品牌平均80ms，另一品牌平均300ms），慢速API成为整个核验链路的瓶颈；③设备固件的HTTP服务器并发处理能力有限，超过其最大并发连接数后直接丢弃请求（无错误响应，导致客户端超时等待）。这一失败经验证明了”简单封装厂商API”的技术路线在超高层建筑的高并发通行场景下不成立。</w:t>
      </w:r>
    </w:p>
    <w:p>
      <w:pPr>
        <w:pStyle w:val="3"/>
      </w:pPr>
      <w:r>
        <w:rPr>
          <w:rFonts w:hint="eastAsia"/>
        </w:rPr>
        <w:t xml:space="preserve">为此，团队进行了架构级推翻重构——放弃直接依赖厂商原生API的方案，重新设计基于异步事件驱动架构的统一中间件层：①自研MQTT/HTTP/RS485多协议通信模块，不依赖厂商SDK，从协议帧级别重新实现各品牌设备的通信逻辑（包括MQTT</w:t>
      </w:r>
      <w:r>
        <w:t xml:space="preserve"> </w:t>
      </w:r>
      <w:r>
        <w:rPr>
          <w:rFonts w:hint="eastAsia"/>
        </w:rPr>
        <w:t xml:space="preserve">Topic路由与QoS管理、HTTP连接池与超时控制、RS485串口帧的组包与CRC校验）；②引入异步事件总线（Event</w:t>
      </w:r>
      <w:r>
        <w:t xml:space="preserve"> </w:t>
      </w:r>
      <w:r>
        <w:rPr>
          <w:rFonts w:hint="eastAsia"/>
        </w:rPr>
        <w:t xml:space="preserve">Bus）解耦核验请求的接收与处理——终端核验事件通过MQTT异步上报后进入事件队列，由Worker线程池并行消费处理，避免同步阻塞；③为每种品牌设备类型配置独立的连接池和超时参数（根据实测响应时间特征分别配置），慢速设备不阻塞快速设备。重构后的架构在高并发压力仿真试验中验证——</w:t>
      </w:r>
      <w:r>
        <w:t xml:space="preserve"> </w:t>
      </w:r>
      <w:r>
        <w:rPr>
          <w:rFonts w:hint="eastAsia"/>
        </w:rPr>
        <w:t xml:space="preserve">50次/秒并发核验请求下，端到端处理延迟稳定在[X]ms以内，CPU利用率不超过[X]%，系统持续运行72小时无服务降级。此次推翻重构的研发投入约占项目总工作量的40%，是证明本项目存在真实技术不确定性、研发过程非简单软件开发的直接论据；</w:t>
      </w:r>
    </w:p>
    <w:p>
      <w:pPr>
        <w:pStyle w:val="3"/>
      </w:pPr>
      <w:r>
        <w:rPr>
          <w:rFonts w:hint="eastAsia"/>
        </w:rPr>
        <w:t xml:space="preserve">（2）不同品牌门禁/梯控设备的协议语义映射与解构方案是否可行——设备通信方式（MQTT/HTTP/RS485）和指令格式因品牌而异，每协议语义映射与解构一个新品牌设备都可能遇到协议实现的非标准行为（接口文档与实际响应不一致、固件版本的兼容性差异等）。例如某品牌门禁控制器的HTTP</w:t>
      </w:r>
      <w:r>
        <w:t xml:space="preserve"> </w:t>
      </w:r>
      <w:r>
        <w:rPr>
          <w:rFonts w:hint="eastAsia"/>
        </w:rPr>
        <w:t xml:space="preserve">API在v2.3.4固件版本以下不返回设备温度字段（文档标注为必返回），需逐一适配兼容。协议语义映射与解构工作存在不确定性，需逐个设备实测验证；</w:t>
      </w:r>
    </w:p>
    <w:p>
      <w:pPr>
        <w:pStyle w:val="3"/>
      </w:pPr>
      <w:r>
        <w:rPr>
          <w:rFonts w:hint="eastAsia"/>
        </w:rPr>
        <w:t xml:space="preserve">（3）高并发通行场景下权限分布式一致性的实时性与可靠性权衡——早高峰大量人员集中通行时，权限差集计算的并行下发可能对MQTT</w:t>
      </w:r>
      <w:r>
        <w:t xml:space="preserve"> </w:t>
      </w:r>
      <w:r>
        <w:rPr>
          <w:rFonts w:hint="eastAsia"/>
        </w:rPr>
        <w:t xml:space="preserve">Broker和门禁控制器造成处理压力。理论上的最优并行度（同时下发的指令数量）在不同的网络条件（WiFi/4G/有线以太网）和设备负载下不同，需通过高并发压力仿真试验确定最优并行度参数和指数退避重试策略。过于激进的并行下发可能导致设备端瞬时过载，过于保守则增加权限生效延迟，需在二者间找到工程上的最优平衡点；</w:t>
      </w:r>
    </w:p>
    <w:p>
      <w:pPr>
        <w:pStyle w:val="3"/>
      </w:pPr>
      <w:r>
        <w:rPr>
          <w:rFonts w:hint="eastAsia"/>
        </w:rPr>
        <w:t xml:space="preserve">（4）多模态核验调度的降级容错机制是否可靠——不同光照条件（强逆光&gt;50,000lux、夜间低照度&lt;10lux）、不同人脸姿态（侧脸&gt;30°偏转、低头&gt;20°俯仰、戴口罩遮挡面积&gt;50%）对人脸识别成功率的影响难以提前全面预估。降级触发阈值（连续核验失败次数、核验超时时长）和切换流畅性（降级后备用核验方式的响应延迟）需在真实环境中进行高并发压力仿真试验调优；</w:t>
      </w:r>
    </w:p>
    <w:p>
      <w:pPr>
        <w:pStyle w:val="3"/>
      </w:pPr>
      <w:r>
        <w:rPr>
          <w:rFonts w:hint="eastAsia"/>
        </w:rPr>
        <w:t xml:space="preserve">（5）门禁-梯控基于异步事件驱动的跨系统状态机同步的时序可靠性——闸机放行、派梯指令下发、电梯实际就位三者的时序配合受网络延迟波动（早高峰WiFi信道竞争导致的RTT抖动）、电梯运行状态（轿厢当前位置与运行方向）、闸机响应速度（电机开合耗时）等多因素影响。基于异步事件驱动的跨系统状态机同步成功率需在不同时段（高峰/平峰）持续监测验证，尤其关注网络抖动时的派梯指令丢失与重发时序；</w:t>
      </w:r>
    </w:p>
    <w:p>
      <w:pPr>
        <w:pStyle w:val="3"/>
      </w:pPr>
      <w:r>
        <w:rPr>
          <w:rFonts w:hint="eastAsia"/>
        </w:rPr>
        <w:t xml:space="preserve">（6）人脸照片质量（角度、光照、遮挡）和不同品牌终端特征值格式差异（海康威视DS-K1T671系列512维浮点向量</w:t>
      </w:r>
      <w:r>
        <w:t xml:space="preserve"> vs </w:t>
      </w:r>
      <w:r>
        <w:rPr>
          <w:rFonts w:hint="eastAsia"/>
        </w:rPr>
        <w:t xml:space="preserve">大华DH-ASI系列256维整型向量）对通行成功率的影响，需在多种设备组合下实测优化。</w:t>
      </w:r>
    </w:p>
    <w:p>
      <w:pPr>
        <w:pStyle w:val="3"/>
      </w:pPr>
      <w:r>
        <w:rPr>
          <w:rFonts w:hint="eastAsia"/>
        </w:rPr>
        <w:t xml:space="preserve">四、与现有技术/产品的对比</w:t>
      </w:r>
    </w:p>
    <w:tbl>
      <w:tblPr>
        <w:tblStyle w:val="Table"/>
        <w:tblW w:type="pct" w:w="5000"/>
        <w:tblLayout w:type="fixed"/>
        <w:tblLook w:firstRow="1" w:lastRow="0" w:firstColumn="0" w:lastColumn="0" w:noHBand="0" w:noVBand="0" w:val="0020"/>
      </w:tblPr>
      <w:tblGrid>
        <w:gridCol w:w="1885"/>
        <w:gridCol w:w="3205"/>
        <w:gridCol w:w="2828"/>
      </w:tblGrid>
      <w:tr>
        <w:trPr>
          <w:tblHeader w:val="on"/>
        </w:trPr>
        <w:tc>
          <w:tcPr/>
          <w:p>
            <w:pPr>
              <w:pStyle w:val="24"/>
            </w:pPr>
            <w:r>
              <w:rPr>
                <w:rFonts w:hint="eastAsia"/>
              </w:rPr>
              <w:t xml:space="preserve">对比维度</w:t>
            </w:r>
          </w:p>
        </w:tc>
        <w:tc>
          <w:tcPr/>
          <w:p>
            <w:pPr>
              <w:pStyle w:val="24"/>
            </w:pPr>
            <w:r>
              <w:rPr>
                <w:rFonts w:hint="eastAsia"/>
              </w:rPr>
              <w:t xml:space="preserve">现有通行管理方案</w:t>
            </w:r>
          </w:p>
        </w:tc>
        <w:tc>
          <w:tcPr/>
          <w:p>
            <w:pPr>
              <w:pStyle w:val="24"/>
            </w:pPr>
            <w:r>
              <w:rPr>
                <w:rFonts w:hint="eastAsia"/>
              </w:rPr>
              <w:t xml:space="preserve">本项目技术方案</w:t>
            </w:r>
          </w:p>
        </w:tc>
      </w:tr>
      <w:tr>
        <w:tc>
          <w:tcPr/>
          <w:p>
            <w:pPr>
              <w:pStyle w:val="24"/>
            </w:pPr>
            <w:r>
              <w:rPr>
                <w:rFonts w:hint="eastAsia"/>
              </w:rPr>
              <w:t xml:space="preserve">设备兼容性</w:t>
            </w:r>
          </w:p>
        </w:tc>
        <w:tc>
          <w:tcPr/>
          <w:p>
            <w:pPr>
              <w:pStyle w:val="24"/>
            </w:pPr>
            <w:r>
              <w:rPr>
                <w:rFonts w:hint="eastAsia"/>
              </w:rPr>
              <w:t xml:space="preserve">绑定单一品牌或限定型号生态，扩展需原厂SDK</w:t>
            </w:r>
          </w:p>
        </w:tc>
        <w:tc>
          <w:tcPr/>
          <w:p>
            <w:pPr>
              <w:pStyle w:val="24"/>
            </w:pPr>
            <w:r>
              <w:rPr>
                <w:rFonts w:hint="eastAsia"/>
              </w:rPr>
              <w:t xml:space="preserve">独立开发MQTT/HTTP/RS485多协议语义映射与解构逻辑（非依赖厂商SDK），支持跨品牌统一管控</w:t>
            </w:r>
          </w:p>
        </w:tc>
      </w:tr>
      <w:tr>
        <w:tc>
          <w:tcPr/>
          <w:p>
            <w:pPr>
              <w:pStyle w:val="24"/>
            </w:pPr>
            <w:r>
              <w:rPr>
                <w:rFonts w:hint="eastAsia"/>
              </w:rPr>
              <w:t xml:space="preserve">核验方式调度</w:t>
            </w:r>
          </w:p>
        </w:tc>
        <w:tc>
          <w:tcPr/>
          <w:p>
            <w:pPr>
              <w:pStyle w:val="24"/>
            </w:pPr>
            <w:r>
              <w:rPr>
                <w:rFonts w:hint="eastAsia"/>
              </w:rPr>
              <w:t xml:space="preserve">各核验方式独立运行，无统一调度和降级</w:t>
            </w:r>
          </w:p>
        </w:tc>
        <w:tc>
          <w:tcPr/>
          <w:p>
            <w:pPr>
              <w:pStyle w:val="24"/>
            </w:pPr>
            <w:r>
              <w:rPr>
                <w:rFonts w:hint="eastAsia"/>
              </w:rPr>
              <w:t xml:space="preserve">多模态核验调度引擎，统一Pipeline管理，支持三级降级容错（人脸→二维码→NFC）</w:t>
            </w:r>
          </w:p>
        </w:tc>
      </w:tr>
      <w:tr>
        <w:tc>
          <w:tcPr/>
          <w:p>
            <w:pPr>
              <w:pStyle w:val="24"/>
            </w:pPr>
            <w:r>
              <w:rPr>
                <w:rFonts w:hint="eastAsia"/>
              </w:rPr>
              <w:t xml:space="preserve">权限管理方式</w:t>
            </w:r>
          </w:p>
        </w:tc>
        <w:tc>
          <w:tcPr/>
          <w:p>
            <w:pPr>
              <w:pStyle w:val="24"/>
            </w:pPr>
            <w:r>
              <w:rPr>
                <w:rFonts w:hint="eastAsia"/>
              </w:rPr>
              <w:t xml:space="preserve">门禁/梯控分别授权，人员变动需逐系统操作</w:t>
            </w:r>
          </w:p>
        </w:tc>
        <w:tc>
          <w:tcPr/>
          <w:p>
            <w:pPr>
              <w:pStyle w:val="24"/>
            </w:pPr>
            <w:r>
              <w:rPr>
                <w:rFonts w:hint="eastAsia"/>
              </w:rPr>
              <w:t xml:space="preserve">差集计算+确认重试+边缘缓存恢复三层冗余协议——二进制差分比对百万级权限记录、异步并行下发、断点续传与全量校验</w:t>
            </w:r>
          </w:p>
        </w:tc>
      </w:tr>
      <w:tr>
        <w:tc>
          <w:tcPr/>
          <w:p>
            <w:pPr>
              <w:pStyle w:val="24"/>
            </w:pPr>
            <w:r>
              <w:rPr>
                <w:rFonts w:hint="eastAsia"/>
              </w:rPr>
              <w:t xml:space="preserve">梯控联动</w:t>
            </w:r>
          </w:p>
        </w:tc>
        <w:tc>
          <w:tcPr/>
          <w:p>
            <w:pPr>
              <w:pStyle w:val="24"/>
            </w:pPr>
            <w:r>
              <w:rPr>
                <w:rFonts w:hint="eastAsia"/>
              </w:rPr>
              <w:t xml:space="preserve">门禁与梯控独立运行，无联动或仅简单IO信号</w:t>
            </w:r>
          </w:p>
        </w:tc>
        <w:tc>
          <w:tcPr/>
          <w:p>
            <w:pPr>
              <w:pStyle w:val="24"/>
            </w:pPr>
            <w:r>
              <w:rPr>
                <w:rFonts w:hint="eastAsia"/>
              </w:rPr>
              <w:t xml:space="preserve">启发式规则DCS目的选层派梯——实时感知电梯负载/方向/位置+网络延迟+人员优先级，多维约束下最优电梯选择</w:t>
            </w:r>
          </w:p>
        </w:tc>
      </w:tr>
      <w:tr>
        <w:tc>
          <w:tcPr/>
          <w:p>
            <w:pPr>
              <w:pStyle w:val="24"/>
            </w:pPr>
            <w:r>
              <w:rPr>
                <w:rFonts w:hint="eastAsia"/>
              </w:rPr>
              <w:t xml:space="preserve">离线处理</w:t>
            </w:r>
          </w:p>
        </w:tc>
        <w:tc>
          <w:tcPr/>
          <w:p>
            <w:pPr>
              <w:pStyle w:val="24"/>
            </w:pPr>
            <w:r>
              <w:rPr>
                <w:rFonts w:hint="eastAsia"/>
              </w:rPr>
              <w:t xml:space="preserve">无保障或仅简单缓存</w:t>
            </w:r>
          </w:p>
        </w:tc>
        <w:tc>
          <w:tcPr/>
          <w:p>
            <w:pPr>
              <w:pStyle w:val="24"/>
            </w:pPr>
            <w:r>
              <w:rPr>
                <w:rFonts w:hint="eastAsia"/>
              </w:rPr>
              <w:t xml:space="preserve">边缘缓存+断点续传+全量校验三级保障，设备离线恢复后权限自动补发，确保最终一致性</w:t>
            </w:r>
          </w:p>
        </w:tc>
      </w:tr>
      <w:tr>
        <w:tc>
          <w:tcPr/>
          <w:p>
            <w:pPr>
              <w:pStyle w:val="24"/>
            </w:pPr>
            <w:r>
              <w:rPr>
                <w:rFonts w:hint="eastAsia"/>
              </w:rPr>
              <w:t xml:space="preserve">部署验证</w:t>
            </w:r>
          </w:p>
        </w:tc>
        <w:tc>
          <w:tcPr/>
          <w:p>
            <w:pPr>
              <w:pStyle w:val="24"/>
            </w:pPr>
            <w:r>
              <w:rPr>
                <w:rFonts w:hint="eastAsia"/>
              </w:rPr>
              <w:t xml:space="preserve">多为单一建筑试点</w:t>
            </w:r>
          </w:p>
        </w:tc>
        <w:tc>
          <w:tcPr/>
          <w:p>
            <w:pPr>
              <w:pStyle w:val="24"/>
            </w:pPr>
            <w:r>
              <w:rPr>
                <w:rFonts w:hint="eastAsia"/>
              </w:rPr>
              <w:t xml:space="preserve">已在望潮中心（280m超高层/57层/4,500人/5万+IoT节点）稳定运行超1年</w:t>
            </w:r>
          </w:p>
        </w:tc>
      </w:tr>
    </w:tbl>
    <w:p>
      <w:pPr>
        <w:pStyle w:val="3"/>
      </w:pPr>
      <w:r>
        <w:rPr>
          <w:rFonts w:hint="eastAsia"/>
        </w:rPr>
        <w:t xml:space="preserve">五、与空间预约系统的技术差异说明</w:t>
      </w:r>
    </w:p>
    <w:p>
      <w:pPr>
        <w:pStyle w:val="3"/>
      </w:pPr>
      <w:r>
        <w:rPr>
          <w:rFonts w:hint="eastAsia"/>
        </w:rPr>
        <w:t xml:space="preserve">本项目（通行系统，JQ2024001）与极企智能楼宇空间预约系统研发（JQ2024003）虽在”签到核验→空间使用”的流程上存在上下游衔接关系，但在技术实现上存在本质差异：</w:t>
      </w:r>
    </w:p>
    <w:tbl>
      <w:tblPr>
        <w:tblStyle w:val="Table"/>
        <w:tblW w:type="pct" w:w="5000"/>
        <w:tblLayout w:type="fixed"/>
        <w:tblLook w:firstRow="1" w:lastRow="0" w:firstColumn="0" w:lastColumn="0" w:noHBand="0" w:noVBand="0" w:val="0020"/>
      </w:tblPr>
      <w:tblGrid>
        <w:gridCol w:w="1414"/>
        <w:gridCol w:w="2687"/>
        <w:gridCol w:w="3818"/>
      </w:tblGrid>
      <w:tr>
        <w:trPr>
          <w:tblHeader w:val="on"/>
        </w:trPr>
        <w:tc>
          <w:tcPr/>
          <w:p>
            <w:pPr>
              <w:pStyle w:val="24"/>
            </w:pPr>
            <w:r>
              <w:rPr>
                <w:rFonts w:hint="eastAsia"/>
              </w:rPr>
              <w:t xml:space="preserve">对比维度</w:t>
            </w:r>
          </w:p>
        </w:tc>
        <w:tc>
          <w:tcPr/>
          <w:p>
            <w:pPr>
              <w:pStyle w:val="24"/>
            </w:pPr>
            <w:r>
              <w:rPr>
                <w:rFonts w:hint="eastAsia"/>
              </w:rPr>
              <w:t xml:space="preserve">通行系统（本项目）</w:t>
            </w:r>
          </w:p>
        </w:tc>
        <w:tc>
          <w:tcPr/>
          <w:p>
            <w:pPr>
              <w:pStyle w:val="24"/>
            </w:pPr>
            <w:r>
              <w:rPr>
                <w:rFonts w:hint="eastAsia"/>
              </w:rPr>
              <w:t xml:space="preserve">空间预约系统（JQ2024003）</w:t>
            </w:r>
          </w:p>
        </w:tc>
      </w:tr>
      <w:tr>
        <w:tc>
          <w:tcPr/>
          <w:p>
            <w:pPr>
              <w:pStyle w:val="24"/>
            </w:pPr>
            <w:r>
              <w:rPr>
                <w:rFonts w:hint="eastAsia"/>
              </w:rPr>
              <w:t xml:space="preserve">核心技术领域</w:t>
            </w:r>
          </w:p>
        </w:tc>
        <w:tc>
          <w:tcPr/>
          <w:p>
            <w:pPr>
              <w:pStyle w:val="24"/>
            </w:pPr>
            <w:r>
              <w:rPr>
                <w:rFonts w:hint="eastAsia"/>
              </w:rPr>
              <w:t xml:space="preserve">门禁/梯控硬件设备的通信协议语义映射与解构、多模态核验调度、权限分布式一致性保障</w:t>
            </w:r>
          </w:p>
        </w:tc>
        <w:tc>
          <w:tcPr/>
          <w:p>
            <w:pPr>
              <w:pStyle w:val="24"/>
            </w:pPr>
            <w:r>
              <w:rPr>
                <w:rFonts w:hint="eastAsia"/>
              </w:rPr>
              <w:t xml:space="preserve">空间数字化建模与WebGL渲染、多维约束组合排程算法、IoT传感器状态融合</w:t>
            </w:r>
          </w:p>
        </w:tc>
      </w:tr>
      <w:tr>
        <w:tc>
          <w:tcPr/>
          <w:p>
            <w:pPr>
              <w:pStyle w:val="24"/>
            </w:pPr>
            <w:r>
              <w:rPr>
                <w:rFonts w:hint="eastAsia"/>
              </w:rPr>
              <w:t xml:space="preserve">硬件交互层次</w:t>
            </w:r>
          </w:p>
        </w:tc>
        <w:tc>
          <w:tcPr/>
          <w:p>
            <w:pPr>
              <w:pStyle w:val="24"/>
            </w:pPr>
            <w:r>
              <w:rPr>
                <w:rFonts w:hint="eastAsia"/>
              </w:rPr>
              <w:t xml:space="preserve">直接控制物理设备（门禁闸机开合、电梯控制器派梯、人脸终端特征值下发）</w:t>
            </w:r>
          </w:p>
        </w:tc>
        <w:tc>
          <w:tcPr/>
          <w:p>
            <w:pPr>
              <w:pStyle w:val="24"/>
            </w:pPr>
            <w:r>
              <w:rPr>
                <w:rFonts w:hint="eastAsia"/>
              </w:rPr>
              <w:t xml:space="preserve">通过空间状态感知间接影响硬件（插座通断电、墨水屏状态更新）</w:t>
            </w:r>
          </w:p>
        </w:tc>
      </w:tr>
      <w:tr>
        <w:tc>
          <w:tcPr/>
          <w:p>
            <w:pPr>
              <w:pStyle w:val="24"/>
            </w:pPr>
            <w:r>
              <w:rPr>
                <w:rFonts w:hint="eastAsia"/>
              </w:rPr>
              <w:t xml:space="preserve">通信协议</w:t>
            </w:r>
          </w:p>
        </w:tc>
        <w:tc>
          <w:tcPr/>
          <w:p>
            <w:pPr>
              <w:pStyle w:val="24"/>
            </w:pPr>
            <w:r>
              <w:rPr>
                <w:rFonts w:hint="eastAsia"/>
              </w:rPr>
              <w:t xml:space="preserve">MQTT/HTTP/RS485三种，需从协议帧级别实现各品牌设备的通信逻辑</w:t>
            </w:r>
          </w:p>
        </w:tc>
        <w:tc>
          <w:tcPr/>
          <w:p>
            <w:pPr>
              <w:pStyle w:val="24"/>
            </w:pPr>
            <w:r>
              <w:rPr>
                <w:rFonts w:hint="eastAsia"/>
              </w:rPr>
              <w:t xml:space="preserve">以HTTP为主（MQTT用于传感器状态订阅），无需处理RS485串口通信</w:t>
            </w:r>
          </w:p>
        </w:tc>
      </w:tr>
      <w:tr>
        <w:tc>
          <w:tcPr/>
          <w:p>
            <w:pPr>
              <w:pStyle w:val="24"/>
            </w:pPr>
            <w:r>
              <w:rPr>
                <w:rFonts w:hint="eastAsia"/>
              </w:rPr>
              <w:t xml:space="preserve">实时性要求</w:t>
            </w:r>
          </w:p>
        </w:tc>
        <w:tc>
          <w:tcPr/>
          <w:p>
            <w:pPr>
              <w:pStyle w:val="24"/>
            </w:pPr>
            <w:r>
              <w:rPr>
                <w:rFonts w:hint="eastAsia"/>
              </w:rPr>
              <w:t xml:space="preserve">秒级硬实时——闸机放行延迟直接影响通行体验和楼宇安全</w:t>
            </w:r>
          </w:p>
        </w:tc>
        <w:tc>
          <w:tcPr/>
          <w:p>
            <w:pPr>
              <w:pStyle w:val="24"/>
            </w:pPr>
            <w:r>
              <w:rPr>
                <w:rFonts w:hint="eastAsia"/>
              </w:rPr>
              <w:t xml:space="preserve">软实时——预约确认和状态更新允许数秒延迟</w:t>
            </w:r>
          </w:p>
        </w:tc>
      </w:tr>
      <w:tr>
        <w:tc>
          <w:tcPr/>
          <w:p>
            <w:pPr>
              <w:pStyle w:val="24"/>
            </w:pPr>
            <w:r>
              <w:rPr>
                <w:rFonts w:hint="eastAsia"/>
              </w:rPr>
              <w:t xml:space="preserve">研发不确定性</w:t>
            </w:r>
          </w:p>
        </w:tc>
        <w:tc>
          <w:tcPr/>
          <w:p>
            <w:pPr>
              <w:pStyle w:val="24"/>
            </w:pPr>
            <w:r>
              <w:rPr>
                <w:rFonts w:hint="eastAsia"/>
              </w:rPr>
              <w:t xml:space="preserve">极高——不同品牌设备的协议非标准行为（API文档与实际不一致、固件版本兼容性差异），存在”架构推翻重构”的真实研发风险</w:t>
            </w:r>
          </w:p>
        </w:tc>
        <w:tc>
          <w:tcPr/>
          <w:p>
            <w:pPr>
              <w:pStyle w:val="24"/>
            </w:pPr>
            <w:r>
              <w:rPr>
                <w:rFonts w:hint="eastAsia"/>
              </w:rPr>
              <w:t xml:space="preserve">中高——算法复杂度和渲染性能的不确定性，但不涉及跨品牌硬件协议适配</w:t>
            </w:r>
          </w:p>
        </w:tc>
      </w:tr>
    </w:tbl>
    <w:p>
      <w:pPr>
        <w:pStyle w:val="3"/>
      </w:pPr>
      <w:r>
        <w:rPr>
          <w:rFonts w:hint="eastAsia"/>
        </w:rPr>
        <w:t xml:space="preserve">六、项目核心团队与方法论支撑</w:t>
      </w:r>
    </w:p>
    <w:p>
      <w:pPr>
        <w:pStyle w:val="3"/>
      </w:pPr>
      <w:r>
        <w:rPr>
          <w:rFonts w:hint="eastAsia"/>
        </w:rPr>
        <w:t xml:space="preserve">本项目由公司首席架构师何铮（四川省”千人计划”专家、系统架构设计师（高级））领衔研发，指导并参与核心模块的设计与攻关。团队在长期的楼宇IoT系统研发实践中，探索并沉淀了基于Node-RED的流式编程（Flow-based</w:t>
      </w:r>
      <w:r>
        <w:t xml:space="preserve"> Programming, </w:t>
      </w:r>
      <w:r>
        <w:rPr>
          <w:rFonts w:hint="eastAsia"/>
        </w:rPr>
        <w:t xml:space="preserve">FBP）开发方法论——将复杂的门禁/梯控设备协议语义映射与解构、权限同步、派梯决策等系统逻辑抽象为可视化的数据流图（Flow</w:t>
      </w:r>
      <w:r>
        <w:t xml:space="preserve"> </w:t>
      </w:r>
      <w:r>
        <w:rPr>
          <w:rFonts w:hint="eastAsia"/>
        </w:rPr>
        <w:t xml:space="preserve">Graph），以声明式逻辑流编排替代传统的命令式代码编程。该方法论显著降低了异构设备接入的开发复杂度——新品牌的协议语义映射与解构从”阅读SDK文档→编写适配代码→编译部署→手动测试”的线性流程转变为”配置协议节点参数→连接数据流→在线调试”的迭代式开发，开发周期缩短约60%。何铮所著的《Node-RED物联网应用开发工程实践》（国内首部Node-RED工程应用专著）系统总结了该方法论，并已直接应用于本项目的多协议通信模块和权限同步流程的开发中。</w:t>
      </w:r>
    </w:p>
    <w:p>
      <w:pPr>
        <w:pStyle w:val="3"/>
      </w:pPr>
      <w:r>
        <w:rPr>
          <w:rFonts w:hint="eastAsia"/>
        </w:rPr>
        <w:t xml:space="preserve">七、研发成果</w:t>
      </w:r>
    </w:p>
    <w:p>
      <w:pPr>
        <w:pStyle w:val="3"/>
      </w:pPr>
      <w:r>
        <w:rPr>
          <w:rFonts w:hint="eastAsia"/>
        </w:rPr>
        <w:t xml:space="preserve">（1）完成智能楼宇通行系统V1.0开发及部署，已提交软件著作权登记申请：智能楼宇通行系统</w:t>
      </w:r>
      <w:r>
        <w:t xml:space="preserve"> Buildingos.access </w:t>
      </w:r>
      <w:r>
        <w:rPr>
          <w:rFonts w:hint="eastAsia"/>
        </w:rPr>
        <w:t xml:space="preserve">V1.0（开发完成日期：2025年3月31日，登记申请提交日期：2026年4月，现审核中）；</w:t>
      </w:r>
    </w:p>
    <w:p>
      <w:pPr>
        <w:pStyle w:val="3"/>
      </w:pPr>
      <w:r>
        <w:rPr>
          <w:rFonts w:hint="eastAsia"/>
        </w:rPr>
        <w:t xml:space="preserve">（2）系统支持多模态通行核验调度引擎（人脸/二维码/NFC统一调度+三级降级容错）、多品牌门禁/梯控设备独立协议语义映射与解构与差集计算+确认重试+边缘缓存恢复三层权限冗余保障协议（MQTT/HTTP/RS485三种通信方式+异步并行下发+断点续传全量校验）、基于启发式规则的DCS目的选层派梯（实时感知电梯状态+网络延迟+多维约束优化）等核心技术能力；</w:t>
      </w:r>
    </w:p>
    <w:p>
      <w:pPr>
        <w:pStyle w:val="3"/>
      </w:pPr>
      <w:r>
        <w:rPr>
          <w:rFonts w:hint="eastAsia"/>
        </w:rPr>
        <w:t xml:space="preserve">（3）系统已在杭州望潮中心（280米超高层、57层、12.5万㎡）实际部署，管理门禁/梯控设备100台，日均处理通行事件0.01次，2024年4月上线至今稳定运行；</w:t>
      </w:r>
    </w:p>
    <w:sectPr>
      <w:cols w:num="1"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EA454B4C"/>
    <w:multiLevelType w:val="multilevel"/>
    <w:tmpl w:val="EA454B4C"/>
    <w:lvl w:ilvl="0" w:tentative="0">
      <w:start w:val="0"/>
      <w:numFmt w:val="bullet"/>
      <w:lvlText w:val="•"/>
      <w:lvlJc w:val="left"/>
      <w:pPr>
        <w:tabs>
          <w:tab w:pos="0" w:val="left"/>
        </w:tabs>
        <w:ind w:hanging="480" w:left="480"/>
      </w:pPr>
    </w:lvl>
    <w:lvl w:ilvl="1" w:tentative="0">
      <w:start w:val="0"/>
      <w:numFmt w:val="bullet"/>
      <w:lvlText w:val="–"/>
      <w:lvlJc w:val="left"/>
      <w:pPr>
        <w:tabs>
          <w:tab w:pos="720" w:val="left"/>
        </w:tabs>
        <w:ind w:hanging="480" w:left="1200"/>
      </w:pPr>
    </w:lvl>
    <w:lvl w:ilvl="2" w:tentative="0">
      <w:start w:val="0"/>
      <w:numFmt w:val="bullet"/>
      <w:lvlText w:val="•"/>
      <w:lvlJc w:val="left"/>
      <w:pPr>
        <w:tabs>
          <w:tab w:pos="1440" w:val="left"/>
        </w:tabs>
        <w:ind w:hanging="480" w:left="1920"/>
      </w:pPr>
    </w:lvl>
    <w:lvl w:ilvl="3" w:tentative="0">
      <w:start w:val="0"/>
      <w:numFmt w:val="bullet"/>
      <w:lvlText w:val="–"/>
      <w:lvlJc w:val="left"/>
      <w:pPr>
        <w:tabs>
          <w:tab w:pos="2160" w:val="left"/>
        </w:tabs>
        <w:ind w:hanging="480" w:left="2640"/>
      </w:pPr>
    </w:lvl>
    <w:lvl w:ilvl="4" w:tentative="0">
      <w:start w:val="0"/>
      <w:numFmt w:val="bullet"/>
      <w:lvlText w:val="•"/>
      <w:lvlJc w:val="left"/>
      <w:pPr>
        <w:tabs>
          <w:tab w:pos="2880" w:val="left"/>
        </w:tabs>
        <w:ind w:hanging="480" w:left="3360"/>
      </w:pPr>
    </w:lvl>
    <w:lvl w:ilvl="5" w:tentative="0">
      <w:start w:val="0"/>
      <w:numFmt w:val="bullet"/>
      <w:lvlText w:val="–"/>
      <w:lvlJc w:val="left"/>
      <w:pPr>
        <w:tabs>
          <w:tab w:pos="3600" w:val="left"/>
        </w:tabs>
        <w:ind w:hanging="480" w:left="4080"/>
      </w:pPr>
    </w:lvl>
    <w:lvl w:ilvl="6" w:tentative="0">
      <w:start w:val="0"/>
      <w:numFmt w:val="bullet"/>
      <w:lvlText w:val="•"/>
      <w:lvlJc w:val="left"/>
      <w:pPr>
        <w:tabs>
          <w:tab w:pos="4320" w:val="left"/>
        </w:tabs>
        <w:ind w:hanging="480" w:left="4800"/>
      </w:pPr>
    </w:lvl>
    <w:lvl w:ilvl="7" w:tentative="0">
      <w:start w:val="0"/>
      <w:numFmt w:val="bullet"/>
      <w:lvlText w:val="–"/>
      <w:lvlJc w:val="left"/>
      <w:pPr>
        <w:tabs>
          <w:tab w:pos="5040" w:val="left"/>
        </w:tabs>
        <w:ind w:hanging="480" w:left="5520"/>
      </w:pPr>
    </w:lvl>
    <w:lvl w:ilvl="8" w:tentative="0">
      <w:start w:val="0"/>
      <w:numFmt w:val="bullet"/>
      <w:lvlText w:val="•"/>
      <w:lvlJc w:val="left"/>
      <w:pPr>
        <w:tabs>
          <w:tab w:pos="5760" w:val="left"/>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8"/>
  <w:embedSystemFonts/>
  <w:proofState w:grammar="clean" w:spelling="clean"/>
  <w:stylePaneFormatFilter w:val="0004"/>
  <w:doNotTrackMoves/>
  <w:documentProtection w:enforcement="0"/>
  <w:defaultTabStop w:val="720"/>
  <w:drawingGridHorizontalSpacing w:val="360"/>
  <w:drawingGridVerticalSpacing w:val="360"/>
  <w:displayHorizontalDrawingGridEvery w:val="0"/>
  <w:displayVerticalDrawingGridEvery w:val="0"/>
  <w:characterSpacingControl w:val="doNotCompress"/>
  <w:savePreviewPicture/>
  <w:compat>
    <w:useFELayout/>
    <w:splitPgBreakAndParaMark/>
    <w:compatSetting w:name="compatibilityMode" w:uri="http://schemas.microsoft.com/office/word" w:val="12"/>
  </w:compat>
  <w:rsids>
    <w:rsidRoot w:val="00590D07"/>
    <w:rsid w:val="00011C8B"/>
    <w:rsid w:val="004E29B3"/>
    <w:rsid w:val="00590D07"/>
    <w:rsid w:val="00784D58"/>
    <w:rsid w:val="008D6863"/>
    <w:rsid w:val="00B86B75"/>
    <w:rsid w:val="00BC48D5"/>
    <w:rsid w:val="00C36279"/>
    <w:rsid w:val="00E315A3"/>
    <w:rsid w:val="4C734257"/>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HAnsi"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lsdException w:name="heading 3" w:qFormat="1" w:semiHidden="0" w:uiPriority="9"/>
    <w:lsdException w:name="heading 4" w:qFormat="1" w:semiHidden="0" w:uiPriority="9"/>
    <w:lsdException w:name="heading 5" w:qFormat="1" w:semiHidden="0" w:uiPriority="9"/>
    <w:lsdException w:name="heading 6" w:qFormat="1" w:semiHidden="0" w:uiPriority="9"/>
    <w:lsdException w:name="heading 7" w:qFormat="1" w:semiHidden="0" w:uiPriority="9"/>
    <w:lsdException w:name="heading 8" w:qFormat="1" w:semiHidden="0" w:uiPriority="9"/>
    <w:lsdException w:name="heading 9" w:qFormat="1" w:semiHidden="0" w:uiPriority="9"/>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qFormat="1" w:semiHidden="0" w:uiPriority="9"/>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semiHidden="0" w:uiPriority="0" w:unhideWhenUsed="0"/>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0" w:unhideWhenUsed="0"/>
    <w:lsdException w:name="Closing" w:semiHidden="0" w:uiPriority="0" w:unhideWhenUsed="0"/>
    <w:lsdException w:name="Signature" w:semiHidden="0" w:uiPriority="0" w:unhideWhenUsed="0"/>
    <w:lsdException w:name="Default Paragraph Font" w:qFormat="1" w:uiPriority="0"/>
    <w:lsdException w:name="Body Text" w:qFormat="1"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0" w:unhideWhenUsed="0"/>
    <w:lsdException w:name="Salutation" w:semiHidden="0" w:uiPriority="0" w:unhideWhenUsed="0"/>
    <w:lsdException w:name="Date" w:qFormat="1"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qFormat="1" w:semiHidden="0" w:uiPriority="9"/>
    <w:lsdException w:name="Hyperlink" w:qFormat="1" w:semiHidden="0" w:uiPriority="0" w:unhideWhenUsed="0"/>
    <w:lsdException w:name="FollowedHyperlink" w:semiHidden="0" w:uiPriority="0" w:unhideWhenUsed="0"/>
    <w:lsdException w:name="Strong" w:semiHidden="0" w:uiPriority="0" w:unhideWhenUsed="0"/>
    <w:lsdException w:name="Emphasis"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spacing w:after="200"/>
    </w:pPr>
    <w:rPr>
      <w:rFonts w:asciiTheme="minorHAnsi" w:cstheme="minorBidi" w:eastAsiaTheme="minorHAnsi" w:hAnsiTheme="minorHAnsi"/>
      <w:sz w:val="24"/>
      <w:szCs w:val="24"/>
      <w:lang w:bidi="ar-SA" w:eastAsia="en-US" w:val="en-US"/>
    </w:rPr>
  </w:style>
  <w:style w:styleId="2" w:type="paragraph">
    <w:name w:val="heading 1"/>
    <w:basedOn w:val="1"/>
    <w:next w:val="3"/>
    <w:qFormat/>
    <w:uiPriority w:val="9"/>
    <w:pPr>
      <w:keepNext/>
      <w:keepLines/>
      <w:spacing w:after="0" w:before="480"/>
      <w:outlineLvl w:val="0"/>
    </w:pPr>
    <w:rPr>
      <w:rFonts w:asciiTheme="majorHAnsi" w:cstheme="majorBidi" w:eastAsiaTheme="majorEastAsia" w:hAnsiTheme="majorHAnsi"/>
      <w:b/>
      <w:bCs/>
      <w:color w:themeColor="accent1" w:val="4F81BD"/>
      <w:sz w:val="32"/>
      <w:szCs w:val="32"/>
    </w:rPr>
  </w:style>
  <w:style w:styleId="4" w:type="paragraph">
    <w:name w:val="heading 2"/>
    <w:basedOn w:val="1"/>
    <w:next w:val="3"/>
    <w:unhideWhenUsed/>
    <w:qFormat/>
    <w:uiPriority w:val="9"/>
    <w:pPr>
      <w:keepNext/>
      <w:keepLines/>
      <w:spacing w:after="0" w:before="200"/>
      <w:outlineLvl w:val="1"/>
    </w:pPr>
    <w:rPr>
      <w:rFonts w:asciiTheme="majorHAnsi" w:cstheme="majorBidi" w:eastAsiaTheme="majorEastAsia" w:hAnsiTheme="majorHAnsi"/>
      <w:b/>
      <w:bCs/>
      <w:color w:themeColor="accent1" w:val="4F81BD"/>
      <w:sz w:val="28"/>
      <w:szCs w:val="28"/>
    </w:rPr>
  </w:style>
  <w:style w:styleId="5" w:type="paragraph">
    <w:name w:val="heading 3"/>
    <w:basedOn w:val="1"/>
    <w:next w:val="3"/>
    <w:unhideWhenUsed/>
    <w:qFormat/>
    <w:uiPriority w:val="9"/>
    <w:pPr>
      <w:keepNext/>
      <w:keepLines/>
      <w:spacing w:after="0" w:before="200"/>
      <w:outlineLvl w:val="2"/>
    </w:pPr>
    <w:rPr>
      <w:rFonts w:asciiTheme="majorHAnsi" w:cstheme="majorBidi" w:eastAsiaTheme="majorEastAsia" w:hAnsiTheme="majorHAnsi"/>
      <w:b/>
      <w:bCs/>
      <w:color w:themeColor="accent1" w:val="4F81BD"/>
      <w:sz w:val="24"/>
      <w:szCs w:val="24"/>
    </w:rPr>
  </w:style>
  <w:style w:styleId="6" w:type="paragraph">
    <w:name w:val="heading 4"/>
    <w:basedOn w:val="1"/>
    <w:next w:val="3"/>
    <w:unhideWhenUsed/>
    <w:qFormat/>
    <w:uiPriority w:val="9"/>
    <w:pPr>
      <w:keepNext/>
      <w:keepLines/>
      <w:spacing w:after="0" w:before="200"/>
      <w:outlineLvl w:val="3"/>
    </w:pPr>
    <w:rPr>
      <w:rFonts w:asciiTheme="majorHAnsi" w:cstheme="majorBidi" w:eastAsiaTheme="majorEastAsia" w:hAnsiTheme="majorHAnsi"/>
      <w:bCs/>
      <w:i/>
      <w:color w:themeColor="accent1" w:val="4F81BD"/>
      <w:sz w:val="24"/>
      <w:szCs w:val="24"/>
    </w:rPr>
  </w:style>
  <w:style w:styleId="7" w:type="paragraph">
    <w:name w:val="heading 5"/>
    <w:basedOn w:val="1"/>
    <w:next w:val="3"/>
    <w:unhideWhenUsed/>
    <w:qFormat/>
    <w:uiPriority w:val="9"/>
    <w:pPr>
      <w:keepNext/>
      <w:keepLines/>
      <w:spacing w:after="0" w:before="200"/>
      <w:outlineLvl w:val="4"/>
    </w:pPr>
    <w:rPr>
      <w:rFonts w:asciiTheme="majorHAnsi" w:cstheme="majorBidi" w:eastAsiaTheme="majorEastAsia" w:hAnsiTheme="majorHAnsi"/>
      <w:iCs/>
      <w:color w:themeColor="accent1" w:val="4F81BD"/>
      <w:sz w:val="24"/>
      <w:szCs w:val="24"/>
    </w:rPr>
  </w:style>
  <w:style w:styleId="8" w:type="paragraph">
    <w:name w:val="heading 6"/>
    <w:basedOn w:val="1"/>
    <w:next w:val="3"/>
    <w:unhideWhenUsed/>
    <w:qFormat/>
    <w:uiPriority w:val="9"/>
    <w:pPr>
      <w:keepNext/>
      <w:keepLines/>
      <w:spacing w:after="0" w:before="200"/>
      <w:outlineLvl w:val="5"/>
    </w:pPr>
    <w:rPr>
      <w:rFonts w:asciiTheme="majorHAnsi" w:cstheme="majorBidi" w:eastAsiaTheme="majorEastAsia" w:hAnsiTheme="majorHAnsi"/>
      <w:color w:themeColor="accent1" w:val="4F81BD"/>
      <w:sz w:val="24"/>
      <w:szCs w:val="24"/>
    </w:rPr>
  </w:style>
  <w:style w:styleId="9" w:type="paragraph">
    <w:name w:val="heading 7"/>
    <w:basedOn w:val="1"/>
    <w:next w:val="3"/>
    <w:unhideWhenUsed/>
    <w:qFormat/>
    <w:uiPriority w:val="9"/>
    <w:pPr>
      <w:keepNext/>
      <w:keepLines/>
      <w:spacing w:after="0" w:before="200"/>
      <w:outlineLvl w:val="6"/>
    </w:pPr>
    <w:rPr>
      <w:rFonts w:asciiTheme="majorHAnsi" w:cstheme="majorBidi" w:eastAsiaTheme="majorEastAsia" w:hAnsiTheme="majorHAnsi"/>
      <w:color w:themeColor="accent1" w:val="4F81BD"/>
      <w:sz w:val="24"/>
      <w:szCs w:val="24"/>
    </w:rPr>
  </w:style>
  <w:style w:styleId="10" w:type="paragraph">
    <w:name w:val="heading 8"/>
    <w:basedOn w:val="1"/>
    <w:next w:val="3"/>
    <w:unhideWhenUsed/>
    <w:qFormat/>
    <w:uiPriority w:val="9"/>
    <w:pPr>
      <w:keepNext/>
      <w:keepLines/>
      <w:spacing w:after="0" w:before="200"/>
      <w:outlineLvl w:val="7"/>
    </w:pPr>
    <w:rPr>
      <w:rFonts w:asciiTheme="majorHAnsi" w:cstheme="majorBidi" w:eastAsiaTheme="majorEastAsia" w:hAnsiTheme="majorHAnsi"/>
      <w:color w:themeColor="accent1" w:val="4F81BD"/>
      <w:sz w:val="24"/>
      <w:szCs w:val="24"/>
    </w:rPr>
  </w:style>
  <w:style w:styleId="11" w:type="paragraph">
    <w:name w:val="heading 9"/>
    <w:basedOn w:val="1"/>
    <w:next w:val="3"/>
    <w:unhideWhenUsed/>
    <w:qFormat/>
    <w:uiPriority w:val="9"/>
    <w:pPr>
      <w:keepNext/>
      <w:keepLines/>
      <w:spacing w:after="0" w:before="200"/>
      <w:outlineLvl w:val="8"/>
    </w:pPr>
    <w:rPr>
      <w:rFonts w:asciiTheme="majorHAnsi" w:cstheme="majorBidi" w:eastAsiaTheme="majorEastAsia" w:hAnsiTheme="majorHAnsi"/>
      <w:color w:themeColor="accent1" w:val="4F81BD"/>
      <w:sz w:val="24"/>
      <w:szCs w:val="24"/>
    </w:rPr>
  </w:style>
  <w:style w:default="1" w:styleId="19" w:type="character">
    <w:name w:val="Default Paragraph Font"/>
    <w:semiHidden/>
    <w:unhideWhenUsed/>
    <w:qFormat/>
    <w:uiPriority w:val="0"/>
  </w:style>
  <w:style w:default="1" w:styleId="18" w:type="table">
    <w:name w:val="Normal Table"/>
    <w:uiPriority w:val="0"/>
    <w:tblPr>
      <w:tblCellMar>
        <w:top w:type="dxa" w:w="0"/>
        <w:left w:type="dxa" w:w="108"/>
        <w:bottom w:type="dxa" w:w="0"/>
        <w:right w:type="dxa" w:w="108"/>
      </w:tblCellMar>
    </w:tblPr>
  </w:style>
  <w:style w:styleId="3" w:type="paragraph">
    <w:name w:val="Body Text"/>
    <w:basedOn w:val="1"/>
    <w:link w:val="21"/>
    <w:qFormat/>
    <w:uiPriority w:val="0"/>
    <w:pPr>
      <w:spacing w:after="180" w:before="180"/>
    </w:pPr>
  </w:style>
  <w:style w:styleId="12" w:type="paragraph">
    <w:name w:val="caption"/>
    <w:basedOn w:val="1"/>
    <w:uiPriority w:val="0"/>
    <w:pPr>
      <w:spacing w:after="120" w:before="0"/>
    </w:pPr>
    <w:rPr>
      <w:i/>
    </w:rPr>
  </w:style>
  <w:style w:styleId="13" w:type="paragraph">
    <w:name w:val="Block Text"/>
    <w:basedOn w:val="3"/>
    <w:next w:val="3"/>
    <w:unhideWhenUsed/>
    <w:qFormat/>
    <w:uiPriority w:val="9"/>
    <w:pPr>
      <w:spacing w:after="100" w:before="100"/>
      <w:ind w:firstLine="0" w:left="480" w:right="480"/>
    </w:pPr>
  </w:style>
  <w:style w:styleId="14" w:type="paragraph">
    <w:name w:val="Date"/>
    <w:next w:val="3"/>
    <w:qFormat/>
    <w:uiPriority w:val="0"/>
    <w:pPr>
      <w:keepNext/>
      <w:keepLines/>
      <w:spacing w:after="200"/>
      <w:jc w:val="center"/>
    </w:pPr>
    <w:rPr>
      <w:rFonts w:asciiTheme="minorHAnsi" w:cstheme="minorBidi" w:eastAsiaTheme="minorHAnsi" w:hAnsiTheme="minorHAnsi"/>
      <w:sz w:val="24"/>
      <w:szCs w:val="24"/>
      <w:lang w:bidi="ar-SA" w:eastAsia="en-US" w:val="en-US"/>
    </w:rPr>
  </w:style>
  <w:style w:styleId="15" w:type="paragraph">
    <w:name w:val="Subtitle"/>
    <w:basedOn w:val="16"/>
    <w:next w:val="3"/>
    <w:qFormat/>
    <w:uiPriority w:val="0"/>
    <w:pPr>
      <w:keepNext/>
      <w:keepLines/>
      <w:spacing w:after="240" w:before="240"/>
      <w:jc w:val="center"/>
    </w:pPr>
    <w:rPr>
      <w:sz w:val="30"/>
      <w:szCs w:val="30"/>
    </w:rPr>
  </w:style>
  <w:style w:styleId="16" w:type="paragraph">
    <w:name w:val="Title"/>
    <w:basedOn w:val="1"/>
    <w:next w:val="3"/>
    <w:qFormat/>
    <w:uiPriority w:val="0"/>
    <w:pPr>
      <w:keepNext/>
      <w:keepLines/>
      <w:spacing w:after="240" w:before="480"/>
      <w:jc w:val="center"/>
    </w:pPr>
    <w:rPr>
      <w:rFonts w:asciiTheme="majorHAnsi" w:cstheme="majorBidi" w:eastAsiaTheme="majorEastAsia" w:hAnsiTheme="majorHAnsi"/>
      <w:b/>
      <w:bCs/>
      <w:color w:themeColor="accent1" w:themeShade="B5" w:val="335B8A"/>
      <w:sz w:val="36"/>
      <w:szCs w:val="36"/>
    </w:rPr>
  </w:style>
  <w:style w:styleId="17" w:type="paragraph">
    <w:name w:val="footnote text"/>
    <w:basedOn w:val="1"/>
    <w:unhideWhenUsed/>
    <w:qFormat/>
    <w:uiPriority w:val="9"/>
  </w:style>
  <w:style w:styleId="20" w:type="character">
    <w:name w:val="Hyperlink"/>
    <w:basedOn w:val="21"/>
    <w:qFormat/>
    <w:uiPriority w:val="0"/>
    <w:rPr>
      <w:color w:themeColor="accent1" w:val="4F81BD"/>
    </w:rPr>
  </w:style>
  <w:style w:customStyle="1" w:styleId="21" w:type="character">
    <w:name w:val="Body Text Char"/>
    <w:basedOn w:val="19"/>
    <w:link w:val="3"/>
    <w:uiPriority w:val="0"/>
  </w:style>
  <w:style w:styleId="22" w:type="character">
    <w:name w:val="footnote reference"/>
    <w:basedOn w:val="21"/>
    <w:uiPriority w:val="0"/>
    <w:rPr>
      <w:vertAlign w:val="superscript"/>
    </w:rPr>
  </w:style>
  <w:style w:customStyle="1" w:styleId="23" w:type="paragraph">
    <w:name w:val="First Paragraph"/>
    <w:basedOn w:val="3"/>
    <w:next w:val="3"/>
    <w:qFormat/>
    <w:uiPriority w:val="0"/>
  </w:style>
  <w:style w:customStyle="1" w:styleId="24" w:type="paragraph">
    <w:name w:val="Compact"/>
    <w:basedOn w:val="3"/>
    <w:qFormat/>
    <w:uiPriority w:val="0"/>
    <w:pPr>
      <w:spacing w:after="36" w:before="36"/>
    </w:pPr>
  </w:style>
  <w:style w:customStyle="1" w:styleId="25" w:type="paragraph">
    <w:name w:val="Author"/>
    <w:next w:val="3"/>
    <w:qFormat/>
    <w:uiPriority w:val="0"/>
    <w:pPr>
      <w:keepNext/>
      <w:keepLines/>
      <w:spacing w:after="200"/>
      <w:jc w:val="center"/>
    </w:pPr>
    <w:rPr>
      <w:rFonts w:asciiTheme="minorHAnsi" w:cstheme="minorBidi" w:eastAsiaTheme="minorHAnsi" w:hAnsiTheme="minorHAnsi"/>
      <w:sz w:val="24"/>
      <w:szCs w:val="24"/>
      <w:lang w:bidi="ar-SA" w:eastAsia="en-US" w:val="en-US"/>
    </w:rPr>
  </w:style>
  <w:style w:customStyle="1" w:styleId="26" w:type="paragraph">
    <w:name w:val="Abstract"/>
    <w:basedOn w:val="1"/>
    <w:next w:val="3"/>
    <w:qFormat/>
    <w:uiPriority w:val="0"/>
    <w:pPr>
      <w:keepNext/>
      <w:keepLines/>
      <w:spacing w:after="300" w:before="300"/>
    </w:pPr>
    <w:rPr>
      <w:sz w:val="20"/>
      <w:szCs w:val="20"/>
    </w:rPr>
  </w:style>
  <w:style w:customStyle="1" w:styleId="27" w:type="paragraph">
    <w:name w:val="Bibliography"/>
    <w:basedOn w:val="1"/>
    <w:qFormat/>
    <w:uiPriority w:val="0"/>
  </w:style>
  <w:style w:customStyle="1" w:styleId="28" w:type="table">
    <w:name w:val="Table"/>
    <w:semiHidden/>
    <w:unhideWhenUsed/>
    <w:qFormat/>
    <w:uiPriority w:val="0"/>
    <w:tblPr>
      <w:tblCellMar>
        <w:top w:type="dxa" w:w="0"/>
        <w:left w:type="dxa" w:w="108"/>
        <w:bottom w:type="dxa" w:w="0"/>
        <w:right w:type="dxa" w:w="108"/>
      </w:tblCellMar>
    </w:tblPr>
  </w:style>
  <w:style w:customStyle="1" w:styleId="29" w:type="paragraph">
    <w:name w:val="Definition Term"/>
    <w:basedOn w:val="1"/>
    <w:next w:val="30"/>
    <w:qFormat/>
    <w:uiPriority w:val="0"/>
    <w:pPr>
      <w:keepNext/>
      <w:keepLines/>
      <w:spacing w:after="0"/>
    </w:pPr>
    <w:rPr>
      <w:b/>
    </w:rPr>
  </w:style>
  <w:style w:customStyle="1" w:styleId="30" w:type="paragraph">
    <w:name w:val="Definition"/>
    <w:basedOn w:val="1"/>
    <w:qFormat/>
    <w:uiPriority w:val="0"/>
  </w:style>
  <w:style w:customStyle="1" w:styleId="31" w:type="paragraph">
    <w:name w:val="Table Caption"/>
    <w:basedOn w:val="12"/>
    <w:uiPriority w:val="0"/>
    <w:pPr>
      <w:keepNext/>
    </w:pPr>
  </w:style>
  <w:style w:customStyle="1" w:styleId="32" w:type="paragraph">
    <w:name w:val="Image Caption"/>
    <w:basedOn w:val="12"/>
    <w:qFormat/>
    <w:uiPriority w:val="0"/>
  </w:style>
  <w:style w:customStyle="1" w:styleId="33" w:type="paragraph">
    <w:name w:val="Figure"/>
    <w:basedOn w:val="1"/>
    <w:qFormat/>
    <w:uiPriority w:val="0"/>
  </w:style>
  <w:style w:customStyle="1" w:styleId="34" w:type="paragraph">
    <w:name w:val="Captioned Figure"/>
    <w:basedOn w:val="33"/>
    <w:qFormat/>
    <w:uiPriority w:val="0"/>
    <w:pPr>
      <w:keepNext/>
    </w:pPr>
  </w:style>
  <w:style w:customStyle="1" w:styleId="35" w:type="character">
    <w:name w:val="Verbatim Char"/>
    <w:basedOn w:val="21"/>
    <w:link w:val="36"/>
    <w:uiPriority w:val="0"/>
    <w:rPr>
      <w:rFonts w:ascii="Consolas" w:hAnsi="Consolas"/>
      <w:sz w:val="22"/>
    </w:rPr>
  </w:style>
  <w:style w:customStyle="1" w:styleId="36" w:type="paragraph">
    <w:name w:val="Source Code"/>
    <w:basedOn w:val="1"/>
    <w:link w:val="35"/>
    <w:uiPriority w:val="0"/>
    <w:pPr>
      <w:wordWrap w:val="0"/>
    </w:pPr>
  </w:style>
  <w:style w:customStyle="1" w:styleId="37" w:type="paragraph">
    <w:name w:val="TOC Heading"/>
    <w:basedOn w:val="2"/>
    <w:next w:val="3"/>
    <w:unhideWhenUsed/>
    <w:qFormat/>
    <w:uiPriority w:val="39"/>
    <w:pPr>
      <w:spacing w:before="240" w:line="259" w:lineRule="auto"/>
      <w:outlineLvl w:val="9"/>
    </w:pPr>
    <w:rPr>
      <w:rFonts w:asciiTheme="majorHAnsi" w:cstheme="majorBidi" w:eastAsiaTheme="majorEastAsia" w:hAnsiTheme="majorHAnsi"/>
      <w:b w:val="0"/>
      <w:bCs w:val="0"/>
      <w:color w:themeColor="accent1" w:themeShade="BF" w:val="366091"/>
    </w:rPr>
  </w:style>
  <w:style w:customStyle="1" w:styleId="38" w:type="character">
    <w:name w:val="KeywordTok"/>
    <w:basedOn w:val="35"/>
    <w:uiPriority w:val="0"/>
    <w:rPr>
      <w:b/>
      <w:color w:val="007020"/>
    </w:rPr>
  </w:style>
  <w:style w:customStyle="1" w:styleId="39" w:type="character">
    <w:name w:val="DataTypeTok"/>
    <w:basedOn w:val="35"/>
    <w:qFormat/>
    <w:uiPriority w:val="0"/>
    <w:rPr>
      <w:color w:val="902000"/>
    </w:rPr>
  </w:style>
  <w:style w:customStyle="1" w:styleId="40" w:type="character">
    <w:name w:val="DecValTok"/>
    <w:basedOn w:val="35"/>
    <w:uiPriority w:val="0"/>
    <w:rPr>
      <w:color w:val="40A070"/>
    </w:rPr>
  </w:style>
  <w:style w:customStyle="1" w:styleId="41" w:type="character">
    <w:name w:val="BaseNTok"/>
    <w:basedOn w:val="35"/>
    <w:uiPriority w:val="0"/>
    <w:rPr>
      <w:color w:val="40A070"/>
    </w:rPr>
  </w:style>
  <w:style w:customStyle="1" w:styleId="42" w:type="character">
    <w:name w:val="FloatTok"/>
    <w:basedOn w:val="35"/>
    <w:uiPriority w:val="0"/>
    <w:rPr>
      <w:color w:val="40A070"/>
    </w:rPr>
  </w:style>
  <w:style w:customStyle="1" w:styleId="43" w:type="character">
    <w:name w:val="ConstantTok"/>
    <w:basedOn w:val="35"/>
    <w:qFormat/>
    <w:uiPriority w:val="0"/>
    <w:rPr>
      <w:color w:val="880000"/>
    </w:rPr>
  </w:style>
  <w:style w:customStyle="1" w:styleId="44" w:type="character">
    <w:name w:val="CharTok"/>
    <w:basedOn w:val="35"/>
    <w:qFormat/>
    <w:uiPriority w:val="0"/>
    <w:rPr>
      <w:color w:val="4070A0"/>
    </w:rPr>
  </w:style>
  <w:style w:customStyle="1" w:styleId="45" w:type="character">
    <w:name w:val="SpecialCharTok"/>
    <w:basedOn w:val="35"/>
    <w:qFormat/>
    <w:uiPriority w:val="0"/>
    <w:rPr>
      <w:color w:val="4070A0"/>
    </w:rPr>
  </w:style>
  <w:style w:customStyle="1" w:styleId="46" w:type="character">
    <w:name w:val="StringTok"/>
    <w:basedOn w:val="35"/>
    <w:qFormat/>
    <w:uiPriority w:val="0"/>
    <w:rPr>
      <w:color w:val="4070A0"/>
    </w:rPr>
  </w:style>
  <w:style w:customStyle="1" w:styleId="47" w:type="character">
    <w:name w:val="VerbatimStringTok"/>
    <w:basedOn w:val="35"/>
    <w:qFormat/>
    <w:uiPriority w:val="0"/>
    <w:rPr>
      <w:color w:val="4070A0"/>
    </w:rPr>
  </w:style>
  <w:style w:customStyle="1" w:styleId="48" w:type="character">
    <w:name w:val="SpecialStringTok"/>
    <w:basedOn w:val="35"/>
    <w:qFormat/>
    <w:uiPriority w:val="0"/>
    <w:rPr>
      <w:color w:val="BB6688"/>
    </w:rPr>
  </w:style>
  <w:style w:customStyle="1" w:styleId="49" w:type="character">
    <w:name w:val="ImportTok"/>
    <w:basedOn w:val="35"/>
    <w:qFormat/>
    <w:uiPriority w:val="0"/>
  </w:style>
  <w:style w:customStyle="1" w:styleId="50" w:type="character">
    <w:name w:val="CommentTok"/>
    <w:basedOn w:val="35"/>
    <w:qFormat/>
    <w:uiPriority w:val="0"/>
    <w:rPr>
      <w:i/>
      <w:color w:val="60A0B0"/>
    </w:rPr>
  </w:style>
  <w:style w:customStyle="1" w:styleId="51" w:type="character">
    <w:name w:val="DocumentationTok"/>
    <w:basedOn w:val="35"/>
    <w:qFormat/>
    <w:uiPriority w:val="0"/>
    <w:rPr>
      <w:i/>
      <w:color w:val="BA2121"/>
    </w:rPr>
  </w:style>
  <w:style w:customStyle="1" w:styleId="52" w:type="character">
    <w:name w:val="AnnotationTok"/>
    <w:basedOn w:val="35"/>
    <w:qFormat/>
    <w:uiPriority w:val="0"/>
    <w:rPr>
      <w:b/>
      <w:i/>
      <w:color w:val="60A0B0"/>
    </w:rPr>
  </w:style>
  <w:style w:customStyle="1" w:styleId="53" w:type="character">
    <w:name w:val="CommentVarTok"/>
    <w:basedOn w:val="35"/>
    <w:qFormat/>
    <w:uiPriority w:val="0"/>
    <w:rPr>
      <w:b/>
      <w:i/>
      <w:color w:val="60A0B0"/>
    </w:rPr>
  </w:style>
  <w:style w:customStyle="1" w:styleId="54" w:type="character">
    <w:name w:val="OtherTok"/>
    <w:basedOn w:val="35"/>
    <w:qFormat/>
    <w:uiPriority w:val="0"/>
    <w:rPr>
      <w:color w:val="007020"/>
    </w:rPr>
  </w:style>
  <w:style w:customStyle="1" w:styleId="55" w:type="character">
    <w:name w:val="FunctionTok"/>
    <w:basedOn w:val="35"/>
    <w:qFormat/>
    <w:uiPriority w:val="0"/>
    <w:rPr>
      <w:color w:val="06287E"/>
    </w:rPr>
  </w:style>
  <w:style w:customStyle="1" w:styleId="56" w:type="character">
    <w:name w:val="VariableTok"/>
    <w:basedOn w:val="35"/>
    <w:qFormat/>
    <w:uiPriority w:val="0"/>
    <w:rPr>
      <w:color w:val="19177C"/>
    </w:rPr>
  </w:style>
  <w:style w:customStyle="1" w:styleId="57" w:type="character">
    <w:name w:val="ControlFlowTok"/>
    <w:basedOn w:val="35"/>
    <w:qFormat/>
    <w:uiPriority w:val="0"/>
    <w:rPr>
      <w:b/>
      <w:color w:val="007020"/>
    </w:rPr>
  </w:style>
  <w:style w:customStyle="1" w:styleId="58" w:type="character">
    <w:name w:val="OperatorTok"/>
    <w:basedOn w:val="35"/>
    <w:qFormat/>
    <w:uiPriority w:val="0"/>
    <w:rPr>
      <w:color w:val="666666"/>
    </w:rPr>
  </w:style>
  <w:style w:customStyle="1" w:styleId="59" w:type="character">
    <w:name w:val="BuiltInTok"/>
    <w:basedOn w:val="35"/>
    <w:qFormat/>
    <w:uiPriority w:val="0"/>
  </w:style>
  <w:style w:customStyle="1" w:styleId="60" w:type="character">
    <w:name w:val="ExtensionTok"/>
    <w:basedOn w:val="35"/>
    <w:qFormat/>
    <w:uiPriority w:val="0"/>
  </w:style>
  <w:style w:customStyle="1" w:styleId="61" w:type="character">
    <w:name w:val="PreprocessorTok"/>
    <w:basedOn w:val="35"/>
    <w:qFormat/>
    <w:uiPriority w:val="0"/>
    <w:rPr>
      <w:color w:val="BC7A00"/>
    </w:rPr>
  </w:style>
  <w:style w:customStyle="1" w:styleId="62" w:type="character">
    <w:name w:val="AttributeTok"/>
    <w:basedOn w:val="35"/>
    <w:qFormat/>
    <w:uiPriority w:val="0"/>
    <w:rPr>
      <w:color w:val="7D9029"/>
    </w:rPr>
  </w:style>
  <w:style w:customStyle="1" w:styleId="63" w:type="character">
    <w:name w:val="RegionMarkerTok"/>
    <w:basedOn w:val="35"/>
    <w:qFormat/>
    <w:uiPriority w:val="0"/>
  </w:style>
  <w:style w:customStyle="1" w:styleId="64" w:type="character">
    <w:name w:val="InformationTok"/>
    <w:basedOn w:val="35"/>
    <w:qFormat/>
    <w:uiPriority w:val="0"/>
    <w:rPr>
      <w:b/>
      <w:i/>
      <w:color w:val="60A0B0"/>
    </w:rPr>
  </w:style>
  <w:style w:customStyle="1" w:styleId="65" w:type="character">
    <w:name w:val="WarningTok"/>
    <w:basedOn w:val="35"/>
    <w:qFormat/>
    <w:uiPriority w:val="0"/>
    <w:rPr>
      <w:b/>
      <w:i/>
      <w:color w:val="60A0B0"/>
    </w:rPr>
  </w:style>
  <w:style w:customStyle="1" w:styleId="66" w:type="character">
    <w:name w:val="AlertTok"/>
    <w:basedOn w:val="35"/>
    <w:qFormat/>
    <w:uiPriority w:val="0"/>
    <w:rPr>
      <w:b/>
      <w:color w:val="FF0000"/>
    </w:rPr>
  </w:style>
  <w:style w:customStyle="1" w:styleId="67" w:type="character">
    <w:name w:val="ErrorTok"/>
    <w:basedOn w:val="35"/>
    <w:qFormat/>
    <w:uiPriority w:val="0"/>
    <w:rPr>
      <w:b/>
      <w:color w:val="FF0000"/>
    </w:rPr>
  </w:style>
  <w:style w:customStyle="1" w:styleId="68" w:type="character">
    <w:name w:val="NormalTok"/>
    <w:basedOn w:val="35"/>
    <w:qFormat/>
    <w:uiPriority w:val="0"/>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Pages>
  <Words>1505</Words>
  <Characters>1590</Characters>
  <Lines>12</Lines>
  <Paragraphs>8</Paragraphs>
  <TotalTime>17</TotalTime>
  <ScaleCrop>false</ScaleCrop>
  <LinksUpToDate>false</LinksUpToDate>
  <CharactersWithSpaces>1608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2026-05-29T07:35:26Z</dcterms:created>
  <dcterms:modified xsi:type="dcterms:W3CDTF">2026-05-29T07:35:26Z</dcterms:modified>
</cp:coreProperties>
</file>

<file path=docProps/custom.xml><?xml version="1.0" encoding="utf-8"?>
<Properties xmlns="http://schemas.openxmlformats.org/officeDocument/2006/custom-properties" xmlns:vt="http://schemas.openxmlformats.org/officeDocument/2006/docPropsVTypes"/>
</file>