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3"/>
      </w:pPr>
      <w:r>
        <w:rPr>
          <w:rFonts w:hint="eastAsia"/>
        </w:rPr>
        <w:t xml:space="preserve">极企智能楼宇会议室系统研发</w:t>
      </w:r>
      <w:r>
        <w:t xml:space="preserve"> </w:t>
      </w:r>
      <w:r>
        <w:rPr>
          <w:rFonts w:hint="eastAsia"/>
        </w:rPr>
        <w:t xml:space="preserve">技术补充说明</w:t>
      </w:r>
    </w:p>
    <w:p>
      <w:pPr>
        <w:pStyle w:val="3"/>
      </w:pPr>
      <w:r>
        <w:rPr>
          <w:rFonts w:hint="eastAsia"/>
        </w:rPr>
        <w:t xml:space="preserve">项目编号：JQ2025001</w:t>
      </w:r>
    </w:p>
    <w:p>
      <w:pPr>
        <w:pStyle w:val="3"/>
      </w:pPr>
      <w:r>
        <w:rPr>
          <w:rFonts w:hint="eastAsia"/>
        </w:rPr>
        <w:t xml:space="preserve">本补充说明系对已提交的《极企智能楼宇会议室系统研发立项报告》中研发内容、核心技术与创新点的进一步深化阐述，旨在更完整地呈现项目研发的技术攻关实质，与原立项报告内容一致，不存在矛盾。</w:t>
      </w:r>
    </w:p>
    <w:p>
      <w:pPr>
        <w:pStyle w:val="3"/>
      </w:pPr>
      <w:r>
        <w:rPr>
          <w:rFonts w:hint="eastAsia"/>
        </w:rPr>
        <w:t xml:space="preserve">一、技术背景与现有技术不足</w:t>
      </w:r>
    </w:p>
    <w:p>
      <w:pPr>
        <w:pStyle w:val="3"/>
      </w:pPr>
      <w:r>
        <w:t xml:space="preserve">1.1 </w:t>
      </w:r>
      <w:r>
        <w:rPr>
          <w:rFonts w:hint="eastAsia"/>
        </w:rPr>
        <w:t xml:space="preserve">行业技术现状</w:t>
      </w:r>
    </w:p>
    <w:p>
      <w:pPr>
        <w:pStyle w:val="3"/>
      </w:pPr>
      <w:r>
        <w:rPr>
          <w:rFonts w:hint="eastAsia"/>
        </w:rPr>
        <w:t xml:space="preserve">会议室是智能楼宇中设备密度最高、协议种类最多、联动逻辑最复杂的封闭空间场景。一间标准的现代化智能会议室通常配置：投影仪/大屏（1-2台）、PTZ摄像头（1-2台）、音频DSP处理器、无线投屏盒子、灯光回路（筒灯/灯带/射灯，2-6路）、电动窗帘/遮阳、空调/新风、门禁控制器等近十种设备品类。这些设备来自不同厂商，采用完全不同的控制协议：</w:t>
      </w:r>
    </w:p>
    <w:p>
      <w:pPr>
        <w:pStyle w:val="3"/>
      </w:pPr>
      <w:r>
        <w:rPr>
          <w:rFonts w:hint="eastAsia"/>
        </w:rPr>
        <w:t xml:space="preserve">（1）楼宇控制协议多样性——四种协议架构的本质差异：空调/新风系统通常走BACnet协议（楼宇自控标准，采用对象模型Object/Property体系，通过IP或MSTP传输）；照明系统走DALI协议（数字可寻址照明接口，每条DALI总线最多64个短地址+16个组地址，支持0-100%无极调光和色温调节）；窗帘/遮阳系统走KNX协议（楼宇自动化标准，采用组对象通信模型，数据点类型DPT体系繁杂——窗帘位置百分比DPT</w:t>
      </w:r>
      <w:r>
        <w:t xml:space="preserve"> </w:t>
      </w:r>
      <w:r>
        <w:rPr>
          <w:rFonts w:hint="eastAsia"/>
        </w:rPr>
        <w:t xml:space="preserve">5.001需将0-100%缩放为0-255，开关DPT</w:t>
      </w:r>
      <w:r>
        <w:t xml:space="preserve"> </w:t>
      </w:r>
      <w:r>
        <w:rPr>
          <w:rFonts w:hint="eastAsia"/>
        </w:rPr>
        <w:t xml:space="preserve">1.001为0/1）；部分空调网关走Modbus</w:t>
      </w:r>
      <w:r>
        <w:t xml:space="preserve"> </w:t>
      </w:r>
      <w:r>
        <w:rPr>
          <w:rFonts w:hint="eastAsia"/>
        </w:rPr>
        <w:t xml:space="preserve">RTU/TCP（工业通信协议，采用寄存器读写模式，需处理功能码03/06/16、线圈/保持寄存器地址映射）。四种协议的通信模型（对象/寄存器/短地址/组对象）、数据编码方式（IEEE</w:t>
      </w:r>
      <w:r>
        <w:t xml:space="preserve"> </w:t>
      </w:r>
      <w:r>
        <w:rPr>
          <w:rFonts w:hint="eastAsia"/>
        </w:rPr>
        <w:t xml:space="preserve">754浮点/16位整型/DPT缩放编码）、寻址体系（Device</w:t>
      </w:r>
      <w:r>
        <w:t xml:space="preserve"> ID/Register Address/Short Address/Group </w:t>
      </w:r>
      <w:r>
        <w:rPr>
          <w:rFonts w:hint="eastAsia"/>
        </w:rPr>
        <w:t xml:space="preserve">Address）、传输模式（UDP广播/TCP连接/RS485总线/KNX</w:t>
      </w:r>
      <w:r>
        <w:t xml:space="preserve"> </w:t>
      </w:r>
      <w:r>
        <w:rPr>
          <w:rFonts w:hint="eastAsia"/>
        </w:rPr>
        <w:t xml:space="preserve">TP1耦合器）完全不同——不是简单”协议不同”的问题，而是四种协议在通信机理的底层哲学上就是异构的：BACnet是面向对象的读写服务模型，Modbus是面向寄存器的内存映射模型，DALI是面向灯具的地址-指令模型，KNX是面向功能组对象的发布/订阅模型。实现统一管控需要攻克的是”四种通信范式在同一控制域内的实时语义对齐”这一核心技术难题；</w:t>
      </w:r>
    </w:p>
    <w:p>
      <w:pPr>
        <w:pStyle w:val="3"/>
      </w:pPr>
      <w:r>
        <w:rPr>
          <w:rFonts w:hint="eastAsia"/>
        </w:rPr>
        <w:t xml:space="preserve">（2）音视频设备控制协议封闭——私有串口协议的黑盒特性：视频矩阵（HDMI信号切换）、PTZ摄像头（云台方向+变焦+预置位）、音频DSP（音量/静音/音源切换）等专业音视频设备多采用RS232串口通信或IR红外控制，指令格式为厂商私有协议——某品牌视频矩阵采用HEX格式指令（如</w:t>
      </w:r>
      <w:r>
        <w:rPr>
          <w:rStyle w:val="35"/>
        </w:rPr>
        <w:t xml:space="preserve">\x7C\x80\x01\x00\x00\xFF</w:t>
      </w:r>
      <w:r>
        <w:rPr>
          <w:rFonts w:hint="eastAsia"/>
        </w:rPr>
        <w:t xml:space="preserve">），另一品牌采用ASCII格式（如</w:t>
      </w:r>
      <w:r>
        <w:rPr>
          <w:rStyle w:val="35"/>
        </w:rPr>
        <w:t xml:space="preserve">"ROUTE 1,2\r\n"</w:t>
      </w:r>
      <w:r>
        <w:rPr>
          <w:rFonts w:hint="eastAsia"/>
        </w:rPr>
        <w:t xml:space="preserve">），缺乏标准化的网络管理接口。将这些设备的控制能力纳入统一的Web管理平台，需在边缘网关上开发串口/红外驱动，通过逆向解析私有协议将离散的硬件控制指令转化为标准化的WebAPI可调用资源——这本质上是将封闭的私有协议进行边缘网关化标准转换；</w:t>
      </w:r>
    </w:p>
    <w:p>
      <w:pPr>
        <w:pStyle w:val="3"/>
      </w:pPr>
      <w:r>
        <w:rPr>
          <w:rFonts w:hint="eastAsia"/>
        </w:rPr>
        <w:t xml:space="preserve">（3）预约-签到-设备联动的全链路自动化——高设备密度下的时序控制挑战：从用户预约会议室到使用完毕释放资源，需要实现”预约确认→会前环境准备→到场签到→自动开启全部设备（投影+灯光+窗帘+空调）→会议结束→自动关闭全部设备→释放资源”的全链路自动化闭环。一间标准会议室涉及近十种设备品类，每种设备的响应时序不同（DALI灯具调光约50-100ms、KNX窗帘开合约500-1000ms、BACnet空调模式切换约1-3秒、投影仪开机约10-30秒），在单会议室场景中需精确编排这些设备的有序动作（先降窗帘→再调灯光→最后开投影，时序错乱即导致用户体验断裂），在多会议室并发场景中还需避免总线冲突。现有方案各环节割裂——预约系统管预约、场景面板管设备、遥控器管音视频——缺乏统一的事件驱动引擎将各环节串联为自动化流程。</w:t>
      </w:r>
    </w:p>
    <w:p>
      <w:pPr>
        <w:pStyle w:val="24"/>
        <w:numPr>
          <w:ilvl w:val="0"/>
          <w:numId w:val="1001"/>
        </w:numPr>
      </w:pPr>
      <w:r>
        <w:rPr>
          <w:rFonts w:hint="eastAsia"/>
        </w:rPr>
        <w:t xml:space="preserve">视频会议软件，如腾讯会议，zoom，思科会议等。他们都有独立的对接方式，无法直接与楼宇自控系统进行通信。需要通过API接口将视频会议软件的控制信号转换为楼宇自控系统的指令，实现视频会议中的设备控制。</w:t>
      </w:r>
    </w:p>
    <w:p>
      <w:pPr>
        <w:pStyle w:val="23"/>
      </w:pPr>
      <w:r>
        <w:rPr>
          <w:rFonts w:hint="eastAsia"/>
        </w:rPr>
        <w:t xml:space="preserve">（5）大屏控制，目前maxhub，LG，小米等不同大屏有不同的硬件控制规则，甚至要通过红外控制进行动态编码完成。</w:t>
      </w:r>
    </w:p>
    <w:p>
      <w:pPr>
        <w:pStyle w:val="3"/>
      </w:pPr>
      <w:r>
        <w:t xml:space="preserve">1.2 </w:t>
      </w:r>
      <w:r>
        <w:rPr>
          <w:rFonts w:hint="eastAsia"/>
        </w:rPr>
        <w:t xml:space="preserve">现有技术方案的不足</w:t>
      </w:r>
    </w:p>
    <w:p>
      <w:pPr>
        <w:pStyle w:val="3"/>
      </w:pPr>
      <w:r>
        <w:rPr>
          <w:rFonts w:hint="eastAsia"/>
        </w:rPr>
        <w:t xml:space="preserve">（1）会议室各品类设备由独立遥控器或场景面板手动控制——投影仪用遥控器、灯光用墙面开关、窗帘用面板、空调用温控器——无法与预约-签到流程自动关联，会议开始前需人工逐一开启设备。传统方案需要部署四套独立的控制系统（BACnet</w:t>
      </w:r>
      <w:r>
        <w:t xml:space="preserve"> </w:t>
      </w:r>
      <w:r>
        <w:rPr>
          <w:rFonts w:hint="eastAsia"/>
        </w:rPr>
        <w:t xml:space="preserve">DDC控制器、DALI照明主机、KNX总线电源+执行器、Modbus网关），硬件成本高、运维管理分散；</w:t>
      </w:r>
    </w:p>
    <w:p>
      <w:pPr>
        <w:pStyle w:val="3"/>
      </w:pPr>
      <w:r>
        <w:rPr>
          <w:rFonts w:hint="eastAsia"/>
        </w:rPr>
        <w:t xml:space="preserve">（2）BACnet、DALI、KNX、Modbus四种楼宇控制协议互不兼容，现有方案多需为每种协议分别部署独立控制系统，缺乏统一的协议语义映射层将四种通信范式抽象为一致的操作语义接口；</w:t>
      </w:r>
    </w:p>
    <w:p>
      <w:pPr>
        <w:pStyle w:val="3"/>
      </w:pPr>
      <w:r>
        <w:rPr>
          <w:rFonts w:hint="eastAsia"/>
        </w:rPr>
        <w:t xml:space="preserve">（3）音视频设备多采用RS232串口控制，缺乏与Web管理平台的集成通道——传统方案中AV设备完全游离于楼宇自控体系之外，无法在中控平板或数字孪生界面上一键操控，缺乏私有协议的边缘网关化标准转换能力。</w:t>
      </w:r>
    </w:p>
    <w:p>
      <w:pPr>
        <w:pStyle w:val="3"/>
      </w:pPr>
      <w:r>
        <w:rPr>
          <w:rFonts w:hint="eastAsia"/>
        </w:rPr>
        <w:t xml:space="preserve">二、核心技术攻关详述</w:t>
      </w:r>
    </w:p>
    <w:p>
      <w:pPr>
        <w:pStyle w:val="3"/>
      </w:pPr>
      <w:r>
        <w:t xml:space="preserve">2.1 </w:t>
      </w:r>
      <w:r>
        <w:rPr>
          <w:rFonts w:hint="eastAsia"/>
        </w:rPr>
        <w:t xml:space="preserve">异构协议语义映射与实时解构技术（BACnet/Modbus/DALI/KNX四协议统一控制）</w:t>
      </w:r>
    </w:p>
    <w:p>
      <w:pPr>
        <w:pStyle w:val="3"/>
      </w:pPr>
      <w:r>
        <w:rPr>
          <w:rFonts w:hint="eastAsia"/>
        </w:rPr>
        <w:t xml:space="preserve">技术难点：会议室涉及4种主流楼宇控制协议，各协议的通信模型、数据格式、控制指令体系完全不同——不是简单的”协议不同”，而是四种协议在底层通信哲学上就是异构的：</w:t>
      </w:r>
    </w:p>
    <w:p>
      <w:pPr>
        <w:pStyle w:val="3"/>
      </w:pPr>
      <w:r>
        <w:rPr>
          <w:rFonts w:hint="eastAsia"/>
        </w:rPr>
        <w:t xml:space="preserve">BACnet（空调/新风）——面向对象的读写服务模型：采用对象模型（Analog</w:t>
      </w:r>
      <w:r>
        <w:t xml:space="preserve"> Input/Output、Binary Input/Output、Multi-state </w:t>
      </w:r>
      <w:r>
        <w:rPr>
          <w:rFonts w:hint="eastAsia"/>
        </w:rPr>
        <w:t xml:space="preserve">Input/Output等对象类型），通过ReadProperty/WriteProperty服务读写对象属性。通信基于UDP广播或TCP单播，设备寻址通过Device</w:t>
      </w:r>
      <w:r>
        <w:t xml:space="preserve"> </w:t>
      </w:r>
      <w:r>
        <w:rPr>
          <w:rFonts w:hint="eastAsia"/>
        </w:rPr>
        <w:t xml:space="preserve">ID。不同厂商的空调网关暴露的BACnet对象结构和属性命名不一致——某品牌将送风温度映射为AnalogOutput:1，另一品牌映射为AnalogValue:3001——需逐个协议语义映射与解构设备的对象列表和属性映射；</w:t>
      </w:r>
    </w:p>
    <w:p>
      <w:pPr>
        <w:pStyle w:val="3"/>
      </w:pPr>
      <w:r>
        <w:t xml:space="preserve">Modbus </w:t>
      </w:r>
      <w:r>
        <w:rPr>
          <w:rFonts w:hint="eastAsia"/>
        </w:rPr>
        <w:t xml:space="preserve">RTU/TCP（空调网关）——面向寄存器的内存映射模型：采用寄存器读写模式——保持寄存器（Holding</w:t>
      </w:r>
      <w:r>
        <w:t xml:space="preserve"> Register </w:t>
      </w:r>
      <w:r>
        <w:rPr>
          <w:rFonts w:hint="eastAsia"/>
        </w:rPr>
        <w:t xml:space="preserve">4xxxx）用于读写参数（温度设定值、运行模式），线圈（Coil</w:t>
      </w:r>
      <w:r>
        <w:t xml:space="preserve"> </w:t>
      </w:r>
      <w:r>
        <w:rPr>
          <w:rFonts w:hint="eastAsia"/>
        </w:rPr>
        <w:t xml:space="preserve">0xxxx）用于开关量控制（启停、制冷/制热切换）。通信基于主从轮询（Master-Slave），单条RS485总线最多32个从站。不同品牌的空调网关寄存器地址分配完全不同，需对照厂家提供的寄存器映射表逐一建立地址映射；</w:t>
      </w:r>
    </w:p>
    <w:p>
      <w:pPr>
        <w:pStyle w:val="3"/>
      </w:pPr>
      <w:r>
        <w:rPr>
          <w:rFonts w:hint="eastAsia"/>
        </w:rPr>
        <w:t xml:space="preserve">DALI（照明系统）——面向灯具的地址-指令模型：数字可寻址照明接口——每条DALI总线最多64个短地址（单个灯具）+16个组地址（灯具分组），支持电弧功率级（Arc</w:t>
      </w:r>
      <w:r>
        <w:t xml:space="preserve"> Power Level </w:t>
      </w:r>
      <w:r>
        <w:rPr>
          <w:rFonts w:hint="eastAsia"/>
        </w:rPr>
        <w:t xml:space="preserve">0-254对应0.1%-100%无极调光）、色温调节（Colour</w:t>
      </w:r>
      <w:r>
        <w:t xml:space="preserve"> Temperature </w:t>
      </w:r>
      <w:r>
        <w:rPr>
          <w:rFonts w:hint="eastAsia"/>
        </w:rPr>
        <w:t xml:space="preserve">Tc）。DALI的通信基于曼彻斯特编码的双线差分信号（总线供电+数据传输复用），寻址需通过随机地址生成+寻址确认的初始化流程，组地址分配和场景（Scene</w:t>
      </w:r>
      <w:r>
        <w:t xml:space="preserve"> </w:t>
      </w:r>
      <w:r>
        <w:rPr>
          <w:rFonts w:hint="eastAsia"/>
        </w:rPr>
        <w:t xml:space="preserve">0-15）编程逻辑在系统部署阶段完成；</w:t>
      </w:r>
    </w:p>
    <w:p>
      <w:pPr>
        <w:pStyle w:val="3"/>
      </w:pPr>
      <w:r>
        <w:rPr>
          <w:rFonts w:hint="eastAsia"/>
        </w:rPr>
        <w:t xml:space="preserve">KNX（窗帘/遮阳）——面向功能组对象的发布/订阅模型：采用组对象（Group</w:t>
      </w:r>
      <w:r>
        <w:t xml:space="preserve"> </w:t>
      </w:r>
      <w:r>
        <w:rPr>
          <w:rFonts w:hint="eastAsia"/>
        </w:rPr>
        <w:t xml:space="preserve">Object）通信模型——每个设备功能（如窗帘上升/下降/停止/位置百分比）对应一个组对象，通过组地址（Group</w:t>
      </w:r>
      <w:r>
        <w:t xml:space="preserve"> </w:t>
      </w:r>
      <w:r>
        <w:rPr>
          <w:rFonts w:hint="eastAsia"/>
        </w:rPr>
        <w:t xml:space="preserve">Address，格式为x/y/z三级或x/y两级）进行报文路由。KNX的数据点类型（DPT）体系繁杂——窗帘位置百分比是DPT</w:t>
      </w:r>
      <w:r>
        <w:t xml:space="preserve"> </w:t>
      </w:r>
      <w:r>
        <w:rPr>
          <w:rFonts w:hint="eastAsia"/>
        </w:rPr>
        <w:t xml:space="preserve">5.001（0-100%缩放为0-255的8位无符号整数），开关是DPT</w:t>
      </w:r>
      <w:r>
        <w:t xml:space="preserve"> </w:t>
      </w:r>
      <w:r>
        <w:rPr>
          <w:rFonts w:hint="eastAsia"/>
        </w:rPr>
        <w:t xml:space="preserve">1.001（0/1的1位布尔值），温度是DPT</w:t>
      </w:r>
      <w:r>
        <w:t xml:space="preserve"> </w:t>
      </w:r>
      <w:r>
        <w:rPr>
          <w:rFonts w:hint="eastAsia"/>
        </w:rPr>
        <w:t xml:space="preserve">9.001（16位浮点），不同DPT的数据编码格式完全不同，需按DPT类型正确编码和解码报文载荷。</w:t>
      </w:r>
    </w:p>
    <w:p>
      <w:pPr>
        <w:pStyle w:val="3"/>
      </w:pPr>
      <w:r>
        <w:rPr>
          <w:rFonts w:hint="eastAsia"/>
        </w:rPr>
        <w:t xml:space="preserve">这四种协议在通信机理上的本质差异意味着：传统方案需要分别为每种协议部署独立的硬件控制器和软件系统——四套独立系统之间无法协同工作。</w:t>
      </w:r>
      <w:r>
        <w:rPr>
          <w:rFonts w:hint="eastAsia"/>
        </w:rPr>
        <w:t xml:space="preserve">“在Web前端点击一个’会议模式’按钮，如何将这个操作意图自动映射为四种协议的对应物理指令（BACnet</w:t>
      </w:r>
      <w:r>
        <w:t xml:space="preserve"> WriteProperty + Modbus Write Register + DALI Set Arc Level + KNX Group </w:t>
      </w:r>
      <w:r>
        <w:rPr>
          <w:rFonts w:hint="eastAsia"/>
        </w:rPr>
        <w:t xml:space="preserve">Write），并在正确的时序下有序执行”</w:t>
      </w:r>
      <w:r>
        <w:rPr>
          <w:rFonts w:hint="eastAsia"/>
        </w:rPr>
        <w:t xml:space="preserve">——这是本项目需要攻克的核心技术难题。</w:t>
      </w:r>
    </w:p>
    <w:p>
      <w:pPr>
        <w:pStyle w:val="3"/>
      </w:pPr>
      <w:r>
        <w:rPr>
          <w:rFonts w:hint="eastAsia"/>
        </w:rPr>
        <w:t xml:space="preserve">技术路线：突破了传统厂商通过部署四套独立网关的低效方案，自主研发了”面向楼宇控制的协议无关语义映射引擎”（Protocol-Agnostic</w:t>
      </w:r>
      <w:r>
        <w:t xml:space="preserve"> Semantic Mapping </w:t>
      </w:r>
      <w:r>
        <w:rPr>
          <w:rFonts w:hint="eastAsia"/>
        </w:rPr>
        <w:t xml:space="preserve">Engine）——将四种协议在物理层的通信差异抽象为统一的操作语义接口（Operation</w:t>
      </w:r>
      <w:r>
        <w:t xml:space="preserve"> Semantics </w:t>
      </w:r>
      <w:r>
        <w:rPr>
          <w:rFonts w:hint="eastAsia"/>
        </w:rPr>
        <w:t xml:space="preserve">Interface），实现”在Web前端下发一个指令，自动匹配最合适的物理协议指令”的智能化调度：</w:t>
      </w:r>
    </w:p>
    <w:p>
      <w:pPr>
        <w:pStyle w:val="3"/>
      </w:pPr>
      <w:r>
        <w:rPr>
          <w:rFonts w:hint="eastAsia"/>
        </w:rPr>
        <w:t xml:space="preserve">协议驱动插件化运行容器：每种协议开发独立的驱动插件，以独立进程运行在边缘网关上——BACnet驱动插件（UDP广播连接+Who-Is设备发现+ReadProperty/WriteProperty服务封装）、Modbus驱动插件（TCP/RTU双模式+功能码03/06/16封装+寄存器地址映射表）、DALI驱动插件（总线供电管理+短地址/组地址寻址+电弧功率级与色温控制）、KNX驱动插件（TP1耦合器通信+组地址路由+DPT编解码映射表）。插件以独立进程运行，单个协议驱动异常不影响其他协议——这一”进程级隔离”设计是保证系统在真实楼宇环境中长期稳定运行的关键架构决策；</w:t>
      </w:r>
    </w:p>
    <w:p>
      <w:pPr>
        <w:pStyle w:val="3"/>
      </w:pPr>
      <w:r>
        <w:rPr>
          <w:rFonts w:hint="eastAsia"/>
        </w:rPr>
        <w:t xml:space="preserve">协议无关操作语义抽象层（核心算法创新）：在协议驱动层之上，设计了统一的操作语义接口——将四种协议在物理层的差异（对象读写/寄存器读写/短地址寻址/组对象发布）抽象为一致的语义操作原语（Semantic</w:t>
      </w:r>
      <w:r>
        <w:t xml:space="preserve"> Operation </w:t>
      </w:r>
      <w:r>
        <w:rPr>
          <w:rFonts w:hint="eastAsia"/>
        </w:rPr>
        <w:t xml:space="preserve">Primitives）：</w:t>
      </w:r>
    </w:p>
    <w:p>
      <w:pPr>
        <w:pStyle w:val="24"/>
        <w:numPr>
          <w:ilvl w:val="0"/>
          <w:numId w:val="1002"/>
        </w:numPr>
      </w:pPr>
      <w:r>
        <w:rPr>
          <w:rFonts w:hint="eastAsia"/>
        </w:rPr>
        <w:t xml:space="preserve">操作语义接口定义了一组与协议无关的标准化操作——</w:t>
      </w:r>
      <w:r>
        <w:rPr>
          <w:rStyle w:val="35"/>
        </w:rPr>
        <w:t xml:space="preserve">setProperty(device, property, value)</w:t>
      </w:r>
      <w:r>
        <w:t xml:space="preserve">、</w:t>
      </w:r>
      <w:r>
        <w:rPr>
          <w:rStyle w:val="35"/>
        </w:rPr>
        <w:t xml:space="preserve">getProperty(device, property)</w:t>
      </w:r>
      <w:r>
        <w:t xml:space="preserve">、</w:t>
      </w:r>
      <w:r>
        <w:rPr>
          <w:rStyle w:val="35"/>
        </w:rPr>
        <w:t xml:space="preserve">executeScene(sceneId)</w:t>
      </w:r>
      <w:r>
        <w:t xml:space="preserve">、</w:t>
      </w:r>
      <w:r>
        <w:rPr>
          <w:rStyle w:val="35"/>
        </w:rPr>
        <w:t xml:space="preserve">queryStatus(device)</w:t>
      </w:r>
      <w:r>
        <w:rPr>
          <w:rFonts w:hint="eastAsia"/>
        </w:rPr>
        <w:t xml:space="preserve">——上层应用（场景规则引擎、中控平板、预约自动化）仅与这些操作语义接口交互，完全无需关心底层走的是BACnet、Modbus、DALI还是KNX；</w:t>
      </w:r>
    </w:p>
    <w:p>
      <w:pPr>
        <w:pStyle w:val="24"/>
        <w:numPr>
          <w:ilvl w:val="0"/>
          <w:numId w:val="1002"/>
        </w:numPr>
      </w:pPr>
      <w:r>
        <w:rPr>
          <w:rFonts w:hint="eastAsia"/>
        </w:rPr>
        <w:t xml:space="preserve">语义适配算子（Semantic</w:t>
      </w:r>
      <w:r>
        <w:t xml:space="preserve"> Adaptation </w:t>
      </w:r>
      <w:r>
        <w:rPr>
          <w:rFonts w:hint="eastAsia"/>
        </w:rPr>
        <w:t xml:space="preserve">Operator）负责将操作语义接口的抽象调用映射为具体协议的物理指令——</w:t>
      </w:r>
      <w:r>
        <w:rPr>
          <w:rStyle w:val="35"/>
          <w:rFonts w:hint="eastAsia"/>
        </w:rPr>
        <w:t xml:space="preserve">setProperty("会议室A-空调",</w:t>
      </w:r>
      <w:r>
        <w:rPr>
          <w:rStyle w:val="35"/>
        </w:rPr>
        <w:t xml:space="preserve"> </w:t>
      </w:r>
      <w:r>
        <w:rPr>
          <w:rStyle w:val="35"/>
          <w:rFonts w:hint="eastAsia"/>
        </w:rPr>
        <w:t xml:space="preserve">"温度",</w:t>
      </w:r>
      <w:r>
        <w:rPr>
          <w:rStyle w:val="35"/>
        </w:rPr>
        <w:t xml:space="preserve"> 24)</w:t>
      </w:r>
      <w:r>
        <w:t xml:space="preserve"> </w:t>
      </w:r>
      <w:r>
        <w:t xml:space="preserve">→ </w:t>
      </w:r>
      <w:r>
        <w:rPr>
          <w:rFonts w:hint="eastAsia"/>
        </w:rPr>
        <w:t xml:space="preserve">若目标设备走BACnet，映射为</w:t>
      </w:r>
      <w:r>
        <w:rPr>
          <w:rStyle w:val="35"/>
        </w:rPr>
        <w:t xml:space="preserve">WriteProperty(AnalogOutput:1, Present_Value, 24)</w:t>
      </w:r>
      <w:r>
        <w:rPr>
          <w:rFonts w:hint="eastAsia"/>
        </w:rPr>
        <w:t xml:space="preserve">；若走Modbus，映射为</w:t>
      </w:r>
      <w:r>
        <w:rPr>
          <w:rStyle w:val="35"/>
        </w:rPr>
        <w:t xml:space="preserve">WriteHoldingRegister(40001, 240)</w:t>
      </w:r>
      <w:r>
        <w:rPr>
          <w:rFonts w:hint="eastAsia"/>
        </w:rPr>
        <w:t xml:space="preserve">（含单位转换：摄氏度×10）。映射逻辑在设备注册时通过配置模板定义，运行时由语义适配算子自动选择正确的映射路径；</w:t>
      </w:r>
    </w:p>
    <w:p>
      <w:pPr>
        <w:pStyle w:val="24"/>
        <w:numPr>
          <w:ilvl w:val="0"/>
          <w:numId w:val="1002"/>
        </w:numPr>
      </w:pPr>
      <w:r>
        <w:rPr>
          <w:rFonts w:hint="eastAsia"/>
        </w:rPr>
        <w:t xml:space="preserve">协议操作时序协调器（Protocol</w:t>
      </w:r>
      <w:r>
        <w:t xml:space="preserve"> Operation Timing </w:t>
      </w:r>
      <w:r>
        <w:rPr>
          <w:rFonts w:hint="eastAsia"/>
        </w:rPr>
        <w:t xml:space="preserve">Coordinator）：不同协议设备的响应时序差异显著——DALI灯具调光约50-100ms、KNX窗帘开合约500-1000ms、BACnet空调模式切换约1-3秒、Modbus寄存器写入约50-200ms。时序协调器维护每个设备类型的响应时序配置表，在场景执行时自动计算最优动作序列——长延迟操作（如投影仪开机30秒）提前发出，短延迟操作在其间穿插执行（如降窗帘→调灯光→开投影，利用投影开机的30秒等待时间完成其他设备动作），将场景整体执行时间从串行方案所需的4秒压缩至1秒；</w:t>
      </w:r>
    </w:p>
    <w:p>
      <w:pPr>
        <w:pStyle w:val="23"/>
      </w:pPr>
      <w:r>
        <w:rPr>
          <w:rFonts w:hint="eastAsia"/>
        </w:rPr>
        <w:t xml:space="preserve">场景规则引擎：在操作语义抽象层之上设计了场景规则引擎，支持可视化定义场景触发条件和设备动作序列。每个场景包含一组有序的设备动作（如”会议模式”=降窗帘→关灯→开投影→调空调），动作间通过操作语义接口调用底层协议驱动，支持时序依赖（前序动作完成后等待[X]秒再执行后续动作）、并行执行（无依赖关系的动作同时下发）和延时设置。场景触发支持三种方式：手动触发（中控平板一键切换）、定时触发和事件触发（如签到成功自动触发”会议开始”场景）。</w:t>
      </w:r>
    </w:p>
    <w:p>
      <w:pPr>
        <w:pStyle w:val="3"/>
      </w:pPr>
      <w:r>
        <w:rPr>
          <w:rFonts w:hint="eastAsia"/>
        </w:rPr>
        <w:t xml:space="preserve">系统实现了以下设备控制能力（全部通过统一操作语义接口调度）：</w:t>
      </w:r>
    </w:p>
    <w:tbl>
      <w:tblPr>
        <w:tblStyle w:val="Table"/>
        <w:tblW w:type="pct" w:w="5000"/>
        <w:tblLayout w:type="fixed"/>
        <w:tblLook w:firstRow="1" w:lastRow="0" w:firstColumn="0" w:lastColumn="0" w:noHBand="0" w:noVBand="0" w:val="0020"/>
      </w:tblPr>
      <w:tblGrid>
        <w:gridCol w:w="1841"/>
        <w:gridCol w:w="1841"/>
        <w:gridCol w:w="1841"/>
        <w:gridCol w:w="2394"/>
      </w:tblGrid>
      <w:tr>
        <w:trPr>
          <w:tblHeader w:val="on"/>
        </w:trPr>
        <w:tc>
          <w:tcPr/>
          <w:p>
            <w:pPr>
              <w:pStyle w:val="24"/>
            </w:pPr>
            <w:r>
              <w:rPr>
                <w:rFonts w:hint="eastAsia"/>
              </w:rPr>
              <w:t xml:space="preserve">设备类型</w:t>
            </w:r>
          </w:p>
        </w:tc>
        <w:tc>
          <w:tcPr/>
          <w:p>
            <w:pPr>
              <w:pStyle w:val="24"/>
            </w:pPr>
            <w:r>
              <w:rPr>
                <w:rFonts w:hint="eastAsia"/>
              </w:rPr>
              <w:t xml:space="preserve">控制协议</w:t>
            </w:r>
          </w:p>
        </w:tc>
        <w:tc>
          <w:tcPr/>
          <w:p>
            <w:pPr>
              <w:pStyle w:val="24"/>
            </w:pPr>
            <w:r>
              <w:rPr>
                <w:rFonts w:hint="eastAsia"/>
              </w:rPr>
              <w:t xml:space="preserve">操作语义</w:t>
            </w:r>
          </w:p>
        </w:tc>
        <w:tc>
          <w:tcPr/>
          <w:p>
            <w:pPr>
              <w:pStyle w:val="24"/>
            </w:pPr>
            <w:r>
              <w:rPr>
                <w:rFonts w:hint="eastAsia"/>
              </w:rPr>
              <w:t xml:space="preserve">物理指令映射</w:t>
            </w:r>
          </w:p>
        </w:tc>
      </w:tr>
      <w:tr>
        <w:tc>
          <w:tcPr/>
          <w:p>
            <w:pPr>
              <w:pStyle w:val="24"/>
            </w:pPr>
            <w:r>
              <w:rPr>
                <w:rFonts w:hint="eastAsia"/>
              </w:rPr>
              <w:t xml:space="preserve">大屏/投影仪</w:t>
            </w:r>
          </w:p>
        </w:tc>
        <w:tc>
          <w:tcPr/>
          <w:p>
            <w:pPr>
              <w:pStyle w:val="24"/>
            </w:pPr>
            <w:r>
              <w:t xml:space="preserve">RS232</w:t>
            </w:r>
          </w:p>
        </w:tc>
        <w:tc>
          <w:tcPr/>
          <w:p>
            <w:pPr>
              <w:pStyle w:val="24"/>
            </w:pPr>
            <w:r>
              <w:t xml:space="preserve">powerOn/powerOff/switchSource</w:t>
            </w:r>
          </w:p>
        </w:tc>
        <w:tc>
          <w:tcPr/>
          <w:p>
            <w:pPr>
              <w:pStyle w:val="24"/>
            </w:pPr>
            <w:r>
              <w:rPr>
                <w:rFonts w:hint="eastAsia"/>
              </w:rPr>
              <w:t xml:space="preserve">HEX或ASCII格式串口指令</w:t>
            </w:r>
          </w:p>
        </w:tc>
      </w:tr>
      <w:tr>
        <w:tc>
          <w:tcPr/>
          <w:p>
            <w:pPr>
              <w:pStyle w:val="24"/>
            </w:pPr>
            <w:r>
              <w:rPr>
                <w:rFonts w:hint="eastAsia"/>
              </w:rPr>
              <w:t xml:space="preserve">PTZ摄像头</w:t>
            </w:r>
          </w:p>
        </w:tc>
        <w:tc>
          <w:tcPr/>
          <w:p>
            <w:pPr>
              <w:pStyle w:val="24"/>
            </w:pPr>
            <w:r>
              <w:t xml:space="preserve">RS232/HTTP</w:t>
            </w:r>
          </w:p>
        </w:tc>
        <w:tc>
          <w:tcPr/>
          <w:p>
            <w:pPr>
              <w:pStyle w:val="24"/>
            </w:pPr>
            <w:r>
              <w:t xml:space="preserve">panTilt/zoom/presetCall</w:t>
            </w:r>
          </w:p>
        </w:tc>
        <w:tc>
          <w:tcPr/>
          <w:p>
            <w:pPr>
              <w:pStyle w:val="24"/>
            </w:pPr>
            <w:r>
              <w:rPr>
                <w:rFonts w:hint="eastAsia"/>
              </w:rPr>
              <w:t xml:space="preserve">VISCA/PELCO-D协议或HTTP</w:t>
            </w:r>
            <w:r>
              <w:t xml:space="preserve"> API</w:t>
            </w:r>
          </w:p>
        </w:tc>
      </w:tr>
      <w:tr>
        <w:tc>
          <w:tcPr/>
          <w:p>
            <w:pPr>
              <w:pStyle w:val="24"/>
            </w:pPr>
            <w:r>
              <w:rPr>
                <w:rFonts w:hint="eastAsia"/>
              </w:rPr>
              <w:t xml:space="preserve">音频系统</w:t>
            </w:r>
          </w:p>
        </w:tc>
        <w:tc>
          <w:tcPr/>
          <w:p>
            <w:pPr>
              <w:pStyle w:val="24"/>
            </w:pPr>
            <w:r>
              <w:t xml:space="preserve">RS232</w:t>
            </w:r>
          </w:p>
        </w:tc>
        <w:tc>
          <w:tcPr/>
          <w:p>
            <w:pPr>
              <w:pStyle w:val="24"/>
            </w:pPr>
            <w:r>
              <w:t xml:space="preserve">setVolume/mute/switchInput</w:t>
            </w:r>
          </w:p>
        </w:tc>
        <w:tc>
          <w:tcPr/>
          <w:p>
            <w:pPr>
              <w:pStyle w:val="24"/>
            </w:pPr>
            <w:r>
              <w:rPr>
                <w:rFonts w:hint="eastAsia"/>
              </w:rPr>
              <w:t xml:space="preserve">厂商私有串口指令</w:t>
            </w:r>
          </w:p>
        </w:tc>
      </w:tr>
      <w:tr>
        <w:tc>
          <w:tcPr/>
          <w:p>
            <w:pPr>
              <w:pStyle w:val="24"/>
            </w:pPr>
            <w:r>
              <w:rPr>
                <w:rFonts w:hint="eastAsia"/>
              </w:rPr>
              <w:t xml:space="preserve">照明系统</w:t>
            </w:r>
          </w:p>
        </w:tc>
        <w:tc>
          <w:tcPr/>
          <w:p>
            <w:pPr>
              <w:pStyle w:val="24"/>
            </w:pPr>
            <w:r>
              <w:t xml:space="preserve">DALI</w:t>
            </w:r>
          </w:p>
        </w:tc>
        <w:tc>
          <w:tcPr/>
          <w:p>
            <w:pPr>
              <w:pStyle w:val="24"/>
            </w:pPr>
            <w:r>
              <w:t xml:space="preserve">setLevel/setColorTemp/scene</w:t>
            </w:r>
          </w:p>
        </w:tc>
        <w:tc>
          <w:tcPr/>
          <w:p>
            <w:pPr>
              <w:pStyle w:val="24"/>
            </w:pPr>
            <w:r>
              <w:t xml:space="preserve">Set Arc Power Level/Colour Temperature Tc</w:t>
            </w:r>
          </w:p>
        </w:tc>
      </w:tr>
      <w:tr>
        <w:tc>
          <w:tcPr/>
          <w:p>
            <w:pPr>
              <w:pStyle w:val="24"/>
            </w:pPr>
            <w:r>
              <w:rPr>
                <w:rFonts w:hint="eastAsia"/>
              </w:rPr>
              <w:t xml:space="preserve">窗帘系统</w:t>
            </w:r>
          </w:p>
        </w:tc>
        <w:tc>
          <w:tcPr/>
          <w:p>
            <w:pPr>
              <w:pStyle w:val="24"/>
            </w:pPr>
            <w:r>
              <w:t xml:space="preserve">KNX</w:t>
            </w:r>
          </w:p>
        </w:tc>
        <w:tc>
          <w:tcPr/>
          <w:p>
            <w:pPr>
              <w:pStyle w:val="24"/>
            </w:pPr>
            <w:r>
              <w:t xml:space="preserve">open/close/stop/setPosition</w:t>
            </w:r>
          </w:p>
        </w:tc>
        <w:tc>
          <w:tcPr/>
          <w:p>
            <w:pPr>
              <w:pStyle w:val="24"/>
            </w:pPr>
            <w:r>
              <w:t xml:space="preserve">Group Write (DPT 1.001/5.001)</w:t>
            </w:r>
          </w:p>
        </w:tc>
      </w:tr>
      <w:tr>
        <w:tc>
          <w:tcPr/>
          <w:p>
            <w:pPr>
              <w:pStyle w:val="24"/>
            </w:pPr>
            <w:r>
              <w:rPr>
                <w:rFonts w:hint="eastAsia"/>
              </w:rPr>
              <w:t xml:space="preserve">空调系统</w:t>
            </w:r>
          </w:p>
        </w:tc>
        <w:tc>
          <w:tcPr/>
          <w:p>
            <w:pPr>
              <w:pStyle w:val="24"/>
            </w:pPr>
            <w:r>
              <w:t xml:space="preserve">BACnet/Modbus</w:t>
            </w:r>
          </w:p>
        </w:tc>
        <w:tc>
          <w:tcPr/>
          <w:p>
            <w:pPr>
              <w:pStyle w:val="24"/>
            </w:pPr>
            <w:r>
              <w:t xml:space="preserve">setMode/setTemp/setFanSpeed</w:t>
            </w:r>
          </w:p>
        </w:tc>
        <w:tc>
          <w:tcPr/>
          <w:p>
            <w:pPr>
              <w:pStyle w:val="24"/>
            </w:pPr>
            <w:r>
              <w:t xml:space="preserve">WriteProperty/WriteHoldingRegister</w:t>
            </w:r>
          </w:p>
        </w:tc>
      </w:tr>
      <w:tr>
        <w:tc>
          <w:tcPr/>
          <w:p>
            <w:pPr>
              <w:pStyle w:val="24"/>
            </w:pPr>
            <w:r>
              <w:rPr>
                <w:rFonts w:hint="eastAsia"/>
              </w:rPr>
              <w:t xml:space="preserve">新风系统</w:t>
            </w:r>
          </w:p>
        </w:tc>
        <w:tc>
          <w:tcPr/>
          <w:p>
            <w:pPr>
              <w:pStyle w:val="24"/>
            </w:pPr>
            <w:r>
              <w:t xml:space="preserve">BACnet</w:t>
            </w:r>
          </w:p>
        </w:tc>
        <w:tc>
          <w:tcPr/>
          <w:p>
            <w:pPr>
              <w:pStyle w:val="24"/>
            </w:pPr>
            <w:r>
              <w:t xml:space="preserve">powerOn/powerOff/setFanSpeed</w:t>
            </w:r>
          </w:p>
        </w:tc>
        <w:tc>
          <w:tcPr/>
          <w:p>
            <w:pPr>
              <w:pStyle w:val="24"/>
            </w:pPr>
            <w:r>
              <w:t xml:space="preserve">WriteProperty</w:t>
            </w:r>
          </w:p>
        </w:tc>
      </w:tr>
      <w:tr>
        <w:tc>
          <w:tcPr/>
          <w:p>
            <w:pPr>
              <w:pStyle w:val="24"/>
            </w:pPr>
            <w:r>
              <w:rPr>
                <w:rFonts w:hint="eastAsia"/>
              </w:rPr>
              <w:t xml:space="preserve">门禁联动</w:t>
            </w:r>
          </w:p>
        </w:tc>
        <w:tc>
          <w:tcPr/>
          <w:p>
            <w:pPr>
              <w:pStyle w:val="24"/>
            </w:pPr>
            <w:r>
              <w:t xml:space="preserve">HTTP/MQTT</w:t>
            </w:r>
          </w:p>
        </w:tc>
        <w:tc>
          <w:tcPr/>
          <w:p>
            <w:pPr>
              <w:pStyle w:val="24"/>
            </w:pPr>
            <w:r>
              <w:t xml:space="preserve">unlock/lock/setPassageMode</w:t>
            </w:r>
          </w:p>
        </w:tc>
        <w:tc>
          <w:tcPr/>
          <w:p>
            <w:pPr>
              <w:pStyle w:val="24"/>
            </w:pPr>
            <w:r>
              <w:t xml:space="preserve">HTTP </w:t>
            </w:r>
            <w:r>
              <w:rPr>
                <w:rFonts w:hint="eastAsia"/>
              </w:rPr>
              <w:t xml:space="preserve">API或MQTT消息</w:t>
            </w:r>
          </w:p>
        </w:tc>
      </w:tr>
    </w:tbl>
    <w:p>
      <w:pPr>
        <w:pStyle w:val="3"/>
      </w:pPr>
      <w:r>
        <w:rPr>
          <w:rFonts w:hint="eastAsia"/>
        </w:rPr>
        <w:t xml:space="preserve">【说明】本项目开发期间（2025.1—2025.6），公司尚未启动AIoT底层技术预研（JQ2025005，2025年8月立项），因此本系统的BACnet/DALI/KNX/Modbus异构协议语义映射与实时解构逻辑是独立开发的，未使用其他项目的通用框架。后续AIoT预研项目已将本系统的多协议语义映射经验纳入统一框架设计，但本系统的研发工作独立完成于AIoT预研之前。</w:t>
      </w:r>
    </w:p>
    <w:p>
      <w:pPr>
        <w:pStyle w:val="3"/>
      </w:pPr>
      <w:r>
        <w:rPr>
          <w:rFonts w:hint="eastAsia"/>
        </w:rPr>
        <w:t xml:space="preserve">攻关过程：DALI协议的地址分配和分组管理是技术难度最高的环节——一个DALI总线上的64个灯具需依次分配短地址（通过随机地址生成+寻址确认的流程），然后将灯具按功能（筒灯/灯带/射灯）划分为不同组、为每组预设4个场景（0-25%-50%-100%亮度）。这一初始化流程任何一步出错都可能导致灯具不受控，需在开发过程中反复高并发压力仿真试验验证。</w:t>
      </w:r>
    </w:p>
    <w:p>
      <w:pPr>
        <w:pStyle w:val="3"/>
      </w:pPr>
      <w:r>
        <w:rPr>
          <w:rFonts w:hint="eastAsia"/>
        </w:rPr>
        <w:t xml:space="preserve">KNX协议的DPT（数据点类型）体系是协议语义映射与解构的核心难点——不同DPT的数据编码格式不同（1</w:t>
      </w:r>
      <w:r>
        <w:t xml:space="preserve"> bit/1 byte/2 bytes/4 </w:t>
      </w:r>
      <w:r>
        <w:rPr>
          <w:rFonts w:hint="eastAsia"/>
        </w:rPr>
        <w:t xml:space="preserve">bytes），需根据DPT类型正确构建和解析报文。通过ETS（KNX工程工具软件）导出项目中所有组地址的DPT定义，在代码中建立组地址→DPT类型→编解码函数的映射表，实现DPT报文的自动编解码。</w:t>
      </w:r>
    </w:p>
    <w:p>
      <w:pPr>
        <w:pStyle w:val="3"/>
      </w:pPr>
      <w:r>
        <w:rPr>
          <w:rFonts w:hint="eastAsia"/>
        </w:rPr>
        <w:t xml:space="preserve">BACnet设备的对象模型差异大——不同厂商的空调网关暴露的BACnet对象类型、实例号和属性集不同，需通过BACnet浏览器工具逐个扫描设备的对象列表，建立设备→对象→属性的映射配置。Modbus寄存器的地址空间分配因品牌而异——需对照每个品牌空调网关的寄存器映射手册逐一协议语义映射与解构功能码和寄存器地址。</w:t>
      </w:r>
    </w:p>
    <w:p>
      <w:pPr>
        <w:pStyle w:val="3"/>
      </w:pPr>
      <w:r>
        <w:rPr>
          <w:rFonts w:hint="eastAsia"/>
        </w:rPr>
        <w:t xml:space="preserve">技术效果：通过异构协议语义映射与实时解构技术的引入，成功将四种完全不同架构的协议统一到一致的操作语义接口下。已独立协议语义映射与解构BACnet/Modbus/DALI/KNX四种协议及多个品牌设备。基于异步事件驱动的跨系统状态机同步执行成功率[XX]%（通过语义引擎的引入提升至[99.X]%）。系统已在望潮中心上线，管理数十间会议室的设备控制与全链路自动化。</w:t>
      </w:r>
    </w:p>
    <w:p>
      <w:pPr>
        <w:pStyle w:val="3"/>
      </w:pPr>
      <w:r>
        <w:t xml:space="preserve">2.2 </w:t>
      </w:r>
      <w:r>
        <w:rPr>
          <w:rFonts w:hint="eastAsia"/>
        </w:rPr>
        <w:t xml:space="preserve">私有协议的边缘网关化标准转换（音视频中控技术）</w:t>
      </w:r>
    </w:p>
    <w:p>
      <w:pPr>
        <w:pStyle w:val="3"/>
      </w:pPr>
      <w:r>
        <w:rPr>
          <w:rFonts w:hint="eastAsia"/>
        </w:rPr>
        <w:t xml:space="preserve">技术难点：会议室音视频设备（视频矩阵、PTZ摄像头、音频DSP等）多采用RS232串口或IR红外控制，缺乏标准化的Web管理接口。不同品牌设备的RS232指令格式完全不兼容——某品牌视频矩阵采用HEX格式指令（如</w:t>
      </w:r>
      <w:r>
        <w:rPr>
          <w:rStyle w:val="35"/>
        </w:rPr>
        <w:t xml:space="preserve">\x7C\x80\x01\x00\x00\xFF</w:t>
      </w:r>
      <w:r>
        <w:rPr>
          <w:rFonts w:hint="eastAsia"/>
        </w:rPr>
        <w:t xml:space="preserve">），另一品牌采用ASCII格式（如</w:t>
      </w:r>
      <w:r>
        <w:rPr>
          <w:rStyle w:val="35"/>
        </w:rPr>
        <w:t xml:space="preserve">"ROUTE 1,2\r\n"</w:t>
      </w:r>
      <w:r>
        <w:rPr>
          <w:rFonts w:hint="eastAsia"/>
        </w:rPr>
        <w:t xml:space="preserve">），PTZ摄像头的VISCA和PELCO-D两种协议的命令体系完全不同。核心挑战在于：如何将这些封闭的、厂商私有的、文档不完整的串口控制协议，通过边缘计算网关实时转换为标准化的JSON/MQTT消息接口，使离散的AV硬件转变为可被标准WebAPI调用的”云端资源”，并纳入统一的场景基于异步事件驱动的跨系统状态机同步调度框架。</w:t>
      </w:r>
    </w:p>
    <w:p>
      <w:pPr>
        <w:pStyle w:val="3"/>
      </w:pPr>
      <w:r>
        <w:rPr>
          <w:rFonts w:hint="eastAsia"/>
        </w:rPr>
        <w:t xml:space="preserve">技术路线：在会议室边缘网关上部署了”基于边缘计算驱动的协议解析转换中间件”——实现串口指令到JSON协议的实时双向转换：</w:t>
      </w:r>
    </w:p>
    <w:p>
      <w:pPr>
        <w:pStyle w:val="3"/>
      </w:pPr>
      <w:r>
        <w:rPr>
          <w:rFonts w:hint="eastAsia"/>
        </w:rPr>
        <w:t xml:space="preserve">视频矩阵控制——私有串口协议的逆向解析与驱动开发：通过RS232串口发送切换指令，实现输入源（HDMI桌插、无线投屏盒子、会议PC）到输出端（大屏1、大屏2、投影仪）的灵活路由。针对不同品牌视频矩阵的私有HEX/ASCII指令格式，逐个进行抓包分析（使用串口监听工具捕获原厂遥控器发出的指令序列），逆向解析指令格式和响应模式，开发专用的串口驱动。支持4K@60Hz信号切换，切换过程黑屏时间控制在500ms内。提供预置信号路由方案（如”标准会议”=PC→大屏1+大屏2，</w:t>
      </w:r>
      <w:r>
        <w:rPr>
          <w:rFonts w:hint="eastAsia"/>
        </w:rPr>
        <w:t xml:space="preserve">“双屏演示”</w:t>
      </w:r>
      <w:r>
        <w:rPr>
          <w:rFonts w:hint="eastAsia"/>
        </w:rPr>
        <w:t xml:space="preserve">=PC→大屏1+投屏→大屏2）；</w:t>
      </w:r>
    </w:p>
    <w:p>
      <w:pPr>
        <w:pStyle w:val="3"/>
      </w:pPr>
      <w:r>
        <w:rPr>
          <w:rFonts w:hint="eastAsia"/>
        </w:rPr>
        <w:t xml:space="preserve">PTZ摄像头控制——VISCA/PELCO-D协议抽象：通过串口（VISCA/PELCO-D协议）或HTTP协议控制云台方向（上/下/左/右，支持变速摇镜——慢速精调/快速粗调）和变焦（Zoom</w:t>
      </w:r>
      <w:r>
        <w:t xml:space="preserve"> </w:t>
      </w:r>
      <w:r>
        <w:rPr>
          <w:rFonts w:hint="eastAsia"/>
        </w:rPr>
        <w:t xml:space="preserve">In/Out，支持光学变焦范围）。在驱动层对两种协议的命令体系做协议抽象——上层统一调用</w:t>
      </w:r>
      <w:r>
        <w:rPr>
          <w:rStyle w:val="35"/>
        </w:rPr>
        <w:t xml:space="preserve">panTilt(direction, speed)</w:t>
      </w:r>
      <w:r>
        <w:rPr>
          <w:rFonts w:hint="eastAsia"/>
        </w:rPr>
        <w:t xml:space="preserve">操作语义，驱动层根据摄像头型号自动选择VISCA或PELCO-D协议编码。支持预置位（Preset）一键调用——预设”主席位”（对准会议桌主位）、</w:t>
      </w:r>
      <w:r>
        <w:rPr>
          <w:rFonts w:hint="eastAsia"/>
        </w:rPr>
        <w:t xml:space="preserve">“全景位”</w:t>
      </w:r>
      <w:r>
        <w:rPr>
          <w:rFonts w:hint="eastAsia"/>
        </w:rPr>
        <w:t xml:space="preserve">（广角全景）、</w:t>
      </w:r>
      <w:r>
        <w:rPr>
          <w:rFonts w:hint="eastAsia"/>
        </w:rPr>
        <w:t xml:space="preserve">“白板位”</w:t>
      </w:r>
      <w:r>
        <w:rPr>
          <w:rFonts w:hint="eastAsia"/>
        </w:rPr>
        <w:t xml:space="preserve">（对准白板区域），预置位参数含云台角度+变焦倍数，调用时摄像头自动旋转到位；</w:t>
      </w:r>
    </w:p>
    <w:p>
      <w:pPr>
        <w:pStyle w:val="3"/>
      </w:pPr>
      <w:r>
        <w:rPr>
          <w:rFonts w:hint="eastAsia"/>
        </w:rPr>
        <w:t xml:space="preserve">音频DSP控制——参数调节加速度曲线优化：通过串口调节主扩音量（-60dB至+12dB）、麦克风音量（每路独立调节）、静音开关、音频输入源切换（桌面麦克风/无线麦克风/电脑音频/蓝牙）。音频DSP的参数调节灵敏度过高导致音量调节不够平滑——在中控平板上微调旋钮时音量跳跃过大——需在控制端增加加速度曲线算法（慢速旋转→微调0.5dB步进，快速旋转→大幅调节3dB步进），模拟专业调音台的物理旋钮手感。支持音频场景预设（如”语音增强”模式自动调整EQ和压缩参数）；</w:t>
      </w:r>
    </w:p>
    <w:p>
      <w:pPr>
        <w:pStyle w:val="3"/>
      </w:pPr>
      <w:r>
        <w:rPr>
          <w:rFonts w:hint="eastAsia"/>
        </w:rPr>
        <w:t xml:space="preserve">统一MQTT封装——边缘侧封闭协议的标准化输出：上述所有控制能力统一封装为标准MQTT消息接口——</w:t>
      </w:r>
      <w:r>
        <w:rPr>
          <w:rStyle w:val="35"/>
        </w:rPr>
        <w:t xml:space="preserve">buildingos/{spaceCode}/meetingroom/{roomId}/av/{deviceType}/{action}</w:t>
      </w:r>
      <w:r>
        <w:rPr>
          <w:rFonts w:hint="eastAsia"/>
        </w:rPr>
        <w:t xml:space="preserve">。场景规则引擎和中控平板通过统一Topic和JSON</w:t>
      </w:r>
      <w:r>
        <w:t xml:space="preserve"> </w:t>
      </w:r>
      <w:r>
        <w:rPr>
          <w:rFonts w:hint="eastAsia"/>
        </w:rPr>
        <w:t xml:space="preserve">Payload触发控制指令，完全无需关心底层走的是哪种串口协议。这一封装实现了”私有协议的边缘网关化标准转换”——将边缘侧封闭的AV串口协议转化为云端标准可调用的MQTT/JSON资源，显著提升了系统的扩展性与异构设备控制的灵活性。</w:t>
      </w:r>
    </w:p>
    <w:p>
      <w:pPr>
        <w:pStyle w:val="3"/>
      </w:pPr>
      <w:r>
        <w:rPr>
          <w:rFonts w:hint="eastAsia"/>
        </w:rPr>
        <w:t xml:space="preserve">攻关过程：不同品牌视频矩阵的RS232指令格式完全不兼容，某品牌的指令文档仅提供日文版且包含多处错误（指令校验和算法描述与实际不符），需通过串口监听+逐一试验的方式确认正确的指令格式和校验算法。PTZ摄像头的VISCA和PELCO-D两种协议的命令体系完全不同——VISCA采用8字节固定长度命令包（Header+Command+Parameter+Footer），PELCO-D采用7字节固定长度（Sync+Address+Command+Data+Checksum），需在驱动层做完整的协议抽象，使上层调用方式完全一致。音频DSP的参数调节灵敏度需在硬件限制（DSP芯片的寄存器精度）和用户体验（音量调节的平滑感）之间反复调优。中控平板的场景按钮布局需兼顾功能完整性和操作简洁性——高频操作（灯光/音量/信号切换）放在首屏，低频操作（空调温度微调/预置位设置）放在二级菜单。</w:t>
      </w:r>
    </w:p>
    <w:p>
      <w:pPr>
        <w:pStyle w:val="3"/>
      </w:pPr>
      <w:r>
        <w:rPr>
          <w:rFonts w:hint="eastAsia"/>
        </w:rPr>
        <w:t xml:space="preserve">技术效果：已实现多种音视频设备的私有协议的边缘网关化标准转换（RS232→MQTT/JSON实时双向转换）。信号切换延迟≤[X]ms，场景基于异步事件驱动的跨系统状态机同步全链路响应时间≤[X]秒。</w:t>
      </w:r>
    </w:p>
    <w:p>
      <w:pPr>
        <w:pStyle w:val="3"/>
      </w:pPr>
      <w:r>
        <w:t xml:space="preserve">2.3 </w:t>
      </w:r>
      <w:r>
        <w:rPr>
          <w:rFonts w:hint="eastAsia"/>
        </w:rPr>
        <w:t xml:space="preserve">基于有限状态机（FSM）的分布式协同调度（预约-签到-设备联动全链路自动化）</w:t>
      </w:r>
    </w:p>
    <w:p>
      <w:pPr>
        <w:pStyle w:val="3"/>
      </w:pPr>
      <w:r>
        <w:rPr>
          <w:rFonts w:hint="eastAsia"/>
        </w:rPr>
        <w:t xml:space="preserve">技术难点：从预约到设备释放的全链路自动化——</w:t>
      </w:r>
      <w:r>
        <w:rPr>
          <w:rFonts w:hint="eastAsia"/>
        </w:rPr>
        <w:t xml:space="preserve">“已预约→会前准备→已签到→使用中→即将结束→已结束→已释放”</w:t>
      </w:r>
      <w:r>
        <w:rPr>
          <w:rFonts w:hint="eastAsia"/>
        </w:rPr>
        <w:t xml:space="preserve">七个核心状态的流转，每个状态变更需触发对应设备动作。核心技术挑战在于：①单会议室的设备时序编排——一间会议室涉及近十种设备，每种设备的响应时序不同（DALI灯具50-100ms/KNX窗帘500-1000ms/BACnet空调1-3秒/投影仪开机10-30秒），若简单串行执行全部动作，场景执行时间将超过设备响应时间之和，用户等待体验不可接受。需在有限状态机中内置时序编排逻辑——长延迟操作提前触发、短延迟操作穿插执行、无依赖关系的动作并行下发；②多会议室的并发冲突避免——同一时段多间会议室同时触发”会议开始”场景，若多个场景同时向同一条DALI/KNX总线发送指令，可能导致总线报文冲突和设备响应异常。需设计基于优先级调度的消息队列机制；③异常状态的自愈——签到后某设备未响应（如投影仪灯泡故障不开机）、会议超时未结束、设备中途故障等边界场景，需FSM引擎具备异常检测和自愈恢复能力。</w:t>
      </w:r>
    </w:p>
    <w:p>
      <w:pPr>
        <w:pStyle w:val="3"/>
      </w:pPr>
      <w:r>
        <w:rPr>
          <w:rFonts w:hint="eastAsia"/>
        </w:rPr>
        <w:t xml:space="preserve">技术路线：将会议室场景抽象为一个具备七个核心状态的有限状态机模型，研发了基于有限状态机（FSM）的分布式协同调度引擎：</w:t>
      </w:r>
    </w:p>
    <w:p>
      <w:pPr>
        <w:pStyle w:val="3"/>
      </w:pPr>
      <w:r>
        <w:rPr>
          <w:rFonts w:hint="eastAsia"/>
        </w:rPr>
        <w:t xml:space="preserve">状态定义与流转规则——七状态FSM模型：</w:t>
      </w:r>
      <w:r>
        <w:t xml:space="preserve"> </w:t>
      </w:r>
      <w:r>
        <w:t xml:space="preserve">- </w:t>
      </w:r>
      <w:r>
        <w:rPr>
          <w:rFonts w:hint="eastAsia"/>
        </w:rPr>
        <w:t xml:space="preserve">已预约</w:t>
      </w:r>
      <w:r>
        <w:t xml:space="preserve"> → </w:t>
      </w:r>
      <w:r>
        <w:rPr>
          <w:rFonts w:hint="eastAsia"/>
        </w:rPr>
        <w:t xml:space="preserve">会前准备（距开始3分钟自动触发——事件驱动）：提前开启空调/新风预热（夏季预冷/冬季预热，利用BACnet空调响应时间1-3秒提前启动），灯光调至30%微亮待机状态（DALI</w:t>
      </w:r>
      <w:r>
        <w:t xml:space="preserve"> Set Arc Power Level </w:t>
      </w:r>
      <w:r>
        <w:rPr>
          <w:rFonts w:hint="eastAsia"/>
        </w:rPr>
        <w:t xml:space="preserve">76/254）</w:t>
      </w:r>
      <w:r>
        <w:t xml:space="preserve"> </w:t>
      </w:r>
      <w:r>
        <w:t xml:space="preserve">- </w:t>
      </w:r>
      <w:r>
        <w:rPr>
          <w:rFonts w:hint="eastAsia"/>
        </w:rPr>
        <w:t xml:space="preserve">会前准备</w:t>
      </w:r>
      <w:r>
        <w:t xml:space="preserve"> → </w:t>
      </w:r>
      <w:r>
        <w:rPr>
          <w:rFonts w:hint="eastAsia"/>
        </w:rPr>
        <w:t xml:space="preserve">已签到（用户扫码/人脸签到成功——事件驱动）：触发”会议开始”场景——FSM引擎通过操作语义接口并行下发设备动作：降窗帘（KNX</w:t>
      </w:r>
      <w:r>
        <w:t xml:space="preserve"> Group </w:t>
      </w:r>
      <w:r>
        <w:rPr>
          <w:rFonts w:hint="eastAsia"/>
        </w:rPr>
        <w:t xml:space="preserve">Write，500-1000ms）→</w:t>
      </w:r>
      <w:r>
        <w:t xml:space="preserve"> </w:t>
      </w:r>
      <w:r>
        <w:rPr>
          <w:rFonts w:hint="eastAsia"/>
        </w:rPr>
        <w:t xml:space="preserve">调灯光至会议模式50%亮度（DALI</w:t>
      </w:r>
      <w:r>
        <w:t xml:space="preserve"> Set Arc Power Level </w:t>
      </w:r>
      <w:r>
        <w:rPr>
          <w:rFonts w:hint="eastAsia"/>
        </w:rPr>
        <w:t xml:space="preserve">127/254，50-100ms）→</w:t>
      </w:r>
      <w:r>
        <w:t xml:space="preserve"> </w:t>
      </w:r>
      <w:r>
        <w:rPr>
          <w:rFonts w:hint="eastAsia"/>
        </w:rPr>
        <w:t xml:space="preserve">切换信号源（RS232串口指令，50-200ms）→</w:t>
      </w:r>
      <w:r>
        <w:t xml:space="preserve"> </w:t>
      </w:r>
      <w:r>
        <w:rPr>
          <w:rFonts w:hint="eastAsia"/>
        </w:rPr>
        <w:t xml:space="preserve">开投影仪（RS232开机指令，预热等待10-30s）。FSM引擎自动编排时序：长等待操作（投影仪开机）提前触发，其间穿插执行短操作（灯光/窗帘），将场景总执行时间由串行累加（约35秒）压缩至投影仪预热时间（约30秒），用户体验感知为”签到→所有设备同步就位”而非”签到→逐一等待设备启动”</w:t>
      </w:r>
      <w:r>
        <w:t xml:space="preserve"> </w:t>
      </w:r>
      <w:r>
        <w:t xml:space="preserve">- </w:t>
      </w:r>
      <w:r>
        <w:rPr>
          <w:rFonts w:hint="eastAsia"/>
        </w:rPr>
        <w:t xml:space="preserve">已签到</w:t>
      </w:r>
      <w:r>
        <w:t xml:space="preserve"> → </w:t>
      </w:r>
      <w:r>
        <w:rPr>
          <w:rFonts w:hint="eastAsia"/>
        </w:rPr>
        <w:t xml:space="preserve">使用中：设备运行状态持续监控，FSM引擎维护设备状态表（在线/离线/响应延迟），异常（设备离线/指令无响应）自动触发告警事件</w:t>
      </w:r>
      <w:r>
        <w:t xml:space="preserve"> </w:t>
      </w:r>
      <w:r>
        <w:t xml:space="preserve">- </w:t>
      </w:r>
      <w:r>
        <w:rPr>
          <w:rFonts w:hint="eastAsia"/>
        </w:rPr>
        <w:t xml:space="preserve">使用中</w:t>
      </w:r>
      <w:r>
        <w:t xml:space="preserve"> → </w:t>
      </w:r>
      <w:r>
        <w:rPr>
          <w:rFonts w:hint="eastAsia"/>
        </w:rPr>
        <w:t xml:space="preserve">即将结束（距结束3分钟——事件驱动）：推送续约/结束提醒至中控平板和参会者手机，可选择续约（如有空闲时段）或确认结束</w:t>
      </w:r>
      <w:r>
        <w:t xml:space="preserve"> </w:t>
      </w:r>
      <w:r>
        <w:t xml:space="preserve">- </w:t>
      </w:r>
      <w:r>
        <w:rPr>
          <w:rFonts w:hint="eastAsia"/>
        </w:rPr>
        <w:t xml:space="preserve">即将结束</w:t>
      </w:r>
      <w:r>
        <w:t xml:space="preserve"> → </w:t>
      </w:r>
      <w:r>
        <w:rPr>
          <w:rFonts w:hint="eastAsia"/>
        </w:rPr>
        <w:t xml:space="preserve">已结束</w:t>
      </w:r>
      <w:r>
        <w:t xml:space="preserve"> → </w:t>
      </w:r>
      <w:r>
        <w:rPr>
          <w:rFonts w:hint="eastAsia"/>
        </w:rPr>
        <w:t xml:space="preserve">已释放：触发”会议结束”场景——关机时序同样经过FSM引擎编排：投影仪/大屏关机（散热延时后断电，保护灯泡寿命）→</w:t>
      </w:r>
      <w:r>
        <w:t xml:space="preserve"> </w:t>
      </w:r>
      <w:r>
        <w:rPr>
          <w:rFonts w:hint="eastAsia"/>
        </w:rPr>
        <w:t xml:space="preserve">灯光恢复至默认模式</w:t>
      </w:r>
      <w:r>
        <w:t xml:space="preserve"> → </w:t>
      </w:r>
      <w:r>
        <w:rPr>
          <w:rFonts w:hint="eastAsia"/>
        </w:rPr>
        <w:t xml:space="preserve">窗帘打开</w:t>
      </w:r>
      <w:r>
        <w:t xml:space="preserve"> → </w:t>
      </w:r>
      <w:r>
        <w:rPr>
          <w:rFonts w:hint="eastAsia"/>
        </w:rPr>
        <w:t xml:space="preserve">空调恢复至待机温度</w:t>
      </w:r>
      <w:r>
        <w:t xml:space="preserve"> → </w:t>
      </w:r>
      <w:r>
        <w:rPr>
          <w:rFonts w:hint="eastAsia"/>
        </w:rPr>
        <w:t xml:space="preserve">音频系统关机</w:t>
      </w:r>
      <w:r>
        <w:t xml:space="preserve"> → </w:t>
      </w:r>
      <w:r>
        <w:rPr>
          <w:rFonts w:hint="eastAsia"/>
        </w:rPr>
        <w:t xml:space="preserve">门禁恢复常闭</w:t>
      </w:r>
      <w:r>
        <w:t xml:space="preserve"> → </w:t>
      </w:r>
      <w:r>
        <w:rPr>
          <w:rFonts w:hint="eastAsia"/>
        </w:rPr>
        <w:t xml:space="preserve">资源释放回可预约池</w:t>
      </w:r>
    </w:p>
    <w:p>
      <w:pPr>
        <w:pStyle w:val="3"/>
      </w:pPr>
      <w:r>
        <w:rPr>
          <w:rFonts w:hint="eastAsia"/>
        </w:rPr>
        <w:t xml:space="preserve">基于传感器信号的状态实时纠偏：FSM引擎不仅依赖预约数据和人工签到事件，还通过部署在会议室的人体红外传感器（PIR）进行状态实时校验——若”使用中”状态下传感器持续5分钟检测无人（所有人员离开），系统推送”是否提前结束”确认至参会者手机，无人响应则自动触发结束场景释放资源；若”已预约”状态下距开始5分钟传感器已检测有人（人员提前到场），自动触发会前准备场景确保设备提前就位。这种”预约状态+传感器信号”的双源校验机制保证了FSM状态的准确性。</w:t>
      </w:r>
    </w:p>
    <w:p>
      <w:pPr>
        <w:pStyle w:val="3"/>
      </w:pPr>
      <w:r>
        <w:rPr>
          <w:rFonts w:hint="eastAsia"/>
        </w:rPr>
        <w:t xml:space="preserve">基于优先级调度的并发消息队列中间件（核心架构创新）：这是解决多会议室并发冲突的关键设计。同一时段多间会议室（如望潮中心早9:00数十间会议室同时开始）同时触发”会议开始”场景——若直接将所有场景的设备动作指令瞬间全部发送至DALI/KNX总线，将导致总线报文冲突（DALI总线同一时刻仅能处理一条指令，KNX总线报文碰撞后需CSMA/CA重传）。为此在FSM引擎与协议驱动层之间设计了优先级调度消息队列：</w:t>
      </w:r>
    </w:p>
    <w:p>
      <w:pPr>
        <w:pStyle w:val="3"/>
      </w:pPr>
      <w:r>
        <w:rPr>
          <w:rFonts w:hint="eastAsia"/>
        </w:rPr>
        <w:t xml:space="preserve">①场景触发后，FSM引擎生成该场景的完整设备动作指令序列，提交至消息队列；</w:t>
      </w:r>
      <w:r>
        <w:t xml:space="preserve"> </w:t>
      </w:r>
      <w:r>
        <w:rPr>
          <w:rFonts w:hint="eastAsia"/>
        </w:rPr>
        <w:t xml:space="preserve">②消息队列按”会议室优先级+触发时间戳”排序——VIP会议室（高管专用/重要客户接待）享有更高优先级，普通会议室按触发时间FIFO排列；</w:t>
      </w:r>
      <w:r>
        <w:t xml:space="preserve"> </w:t>
      </w:r>
      <w:r>
        <w:rPr>
          <w:rFonts w:hint="eastAsia"/>
        </w:rPr>
        <w:t xml:space="preserve">③消息队列向各协议总线以受控速率发送指令——DALI总线速率限制为10条/秒（基于总线带宽和灯具响应时间计算的安全速率）、KNX总线速率限制为10条/秒（基于TP1耦合器报文吞吐量），确保不超过总线物理带宽上限；</w:t>
      </w:r>
      <w:r>
        <w:t xml:space="preserve"> </w:t>
      </w:r>
      <w:r>
        <w:rPr>
          <w:rFonts w:hint="eastAsia"/>
        </w:rPr>
        <w:t xml:space="preserve">④指令发送间隔由协议时序协调器根据各协议的响应时序特性动态计算，实现微秒级时序对齐。</w:t>
      </w:r>
    </w:p>
    <w:p>
      <w:pPr>
        <w:pStyle w:val="3"/>
      </w:pPr>
      <w:r>
        <w:rPr>
          <w:rFonts w:hint="eastAsia"/>
        </w:rPr>
        <w:t xml:space="preserve">这一设计解决了”极高设备密度与极高响应标准”并存场景下的核心调度难题。</w:t>
      </w:r>
    </w:p>
    <w:p>
      <w:pPr>
        <w:pStyle w:val="3"/>
      </w:pPr>
      <w:r>
        <w:rPr>
          <w:rFonts w:hint="eastAsia"/>
        </w:rPr>
        <w:t xml:space="preserve">异常状态处理——FSM自愈机制：</w:t>
      </w:r>
      <w:r>
        <w:t xml:space="preserve"> </w:t>
      </w:r>
      <w:r>
        <w:t xml:space="preserve">- </w:t>
      </w:r>
      <w:r>
        <w:rPr>
          <w:rFonts w:hint="eastAsia"/>
        </w:rPr>
        <w:t xml:space="preserve">超时未签到（预约开始后3分钟未签到）：FSM自动触发”取消预约”事件→释放资源→通知参会者</w:t>
      </w:r>
      <w:r>
        <w:t xml:space="preserve"> </w:t>
      </w:r>
      <w:r>
        <w:t xml:space="preserve">- </w:t>
      </w:r>
      <w:r>
        <w:rPr>
          <w:rFonts w:hint="eastAsia"/>
        </w:rPr>
        <w:t xml:space="preserve">设备基于异步事件驱动的跨系统状态机同步失败（场景动作执行超时或设备无响应）：重试3次→仍失败则生成告警并标记该设备状态为”异常”，后续场景自动跳过异常设备（部分降级执行），管理员手动处理后恢复</w:t>
      </w:r>
      <w:r>
        <w:t xml:space="preserve"> </w:t>
      </w:r>
      <w:r>
        <w:t xml:space="preserve">- </w:t>
      </w:r>
      <w:r>
        <w:rPr>
          <w:rFonts w:hint="eastAsia"/>
        </w:rPr>
        <w:t xml:space="preserve">会议超时未结束（超时后5分钟仍无人签退）：FSM推送强制结束提醒→仍无响应则自动触发结束场景（保护后续预约的权益）</w:t>
      </w:r>
      <w:r>
        <w:t xml:space="preserve"> </w:t>
      </w:r>
      <w:r>
        <w:t xml:space="preserve">- </w:t>
      </w:r>
      <w:r>
        <w:rPr>
          <w:rFonts w:hint="eastAsia"/>
        </w:rPr>
        <w:t xml:space="preserve">设备中途故障（如投影仪灯泡突发熄灭）：FSM检测到设备状态从”在线”变为”无响应”，立即生成告警并尝试恢复（重启指令），同时将故障设备从当前场景中隔离，避免影响其他设备的正常动作</w:t>
      </w:r>
    </w:p>
    <w:p>
      <w:pPr>
        <w:pStyle w:val="3"/>
      </w:pPr>
      <w:r>
        <w:rPr>
          <w:rFonts w:hint="eastAsia"/>
        </w:rPr>
        <w:t xml:space="preserve">集成腾讯会议、Zoom等主流视频会议平台——支持在中控平板上一键入会（调用会议室预定账号自动加入会议），会中控麦（全员静音/解除静音）、共享屏幕、切换布局（演讲者视图/画廊视图）。视频会议软件的API操作同样封装为操作语义接口的一部分，与硬件设备控制统一编排在FSM场景中。</w:t>
      </w:r>
    </w:p>
    <w:p>
      <w:pPr>
        <w:pStyle w:val="3"/>
      </w:pPr>
      <w:r>
        <w:rPr>
          <w:rFonts w:hint="eastAsia"/>
        </w:rPr>
        <w:t xml:space="preserve">2.5D数字沙盘：提供会议室楼层的2.5D可视化视图，每个会议室以卡片形式展示——实时状态（空闲绿/占用红/即将开始黄）、会议主题、时间、参会人。支持日历排期视图（日/周/月）和拖拽预约（将会议卡片拖到空余时段即完成预约）。</w:t>
      </w:r>
    </w:p>
    <w:p>
      <w:pPr>
        <w:pStyle w:val="3"/>
      </w:pPr>
      <w:r>
        <w:rPr>
          <w:rFonts w:hint="eastAsia"/>
        </w:rPr>
        <w:t xml:space="preserve">攻关过程与效果：</w:t>
      </w:r>
    </w:p>
    <w:p>
      <w:pPr>
        <w:pStyle w:val="3"/>
      </w:pPr>
      <w:r>
        <w:rPr>
          <w:rFonts w:hint="eastAsia"/>
        </w:rPr>
        <w:t xml:space="preserve">技术效果：基于有限状态机（FSM）的分布式协同调度引擎实现了七状态全链路自动化流转。通过优先级调度消息队列中间件，在50间会议室并发场景下，单指令触发延迟保持在[X]ms以内。基于异步事件驱动的跨系统状态机同步成功率95%。系统已在望潮中心实际运行，管理数十间会议室的全链路自动化。</w:t>
      </w:r>
    </w:p>
    <w:p>
      <w:pPr>
        <w:pStyle w:val="3"/>
      </w:pPr>
      <w:r>
        <w:rPr>
          <w:rFonts w:hint="eastAsia"/>
        </w:rPr>
        <w:t xml:space="preserve">三、技术不确定性说明</w:t>
      </w:r>
    </w:p>
    <w:p>
      <w:pPr>
        <w:pStyle w:val="3"/>
      </w:pPr>
      <w:r>
        <w:rPr>
          <w:rFonts w:hint="eastAsia"/>
        </w:rPr>
        <w:t xml:space="preserve">（1）【架构推翻重构——本项目最核心的研发风险印证】项目初期的技术方案采用”指令直接透传”模式——场景引擎直接将设备动作指令下发至对应的协议驱动，不经过任何时序协调和流量整形。在单会议室、单设备类型的高并发压力仿真试验中运行正常，但在望潮中心多会议室并发场景的真实部署中暴露出严重的”指令风暴”（Command</w:t>
      </w:r>
      <w:r>
        <w:t xml:space="preserve"> </w:t>
      </w:r>
      <w:r>
        <w:rPr>
          <w:rFonts w:hint="eastAsia"/>
        </w:rPr>
        <w:t xml:space="preserve">Storm）问题：</w:t>
      </w:r>
    </w:p>
    <w:p>
      <w:pPr>
        <w:pStyle w:val="3"/>
      </w:pPr>
      <w:r>
        <w:rPr>
          <w:rFonts w:hint="eastAsia"/>
        </w:rPr>
        <w:t xml:space="preserve">早9:00多间会议室同时触发”会议开始”场景——数十条KNX组对象写入指令（每间会议室涉及窗帘开合+灯光场景共4-6条KNX报文）在数秒内集中涌入KNX总线，超出了TP1耦合器的报文处理能力（KNX</w:t>
      </w:r>
      <w:r>
        <w:t xml:space="preserve"> </w:t>
      </w:r>
      <w:r>
        <w:rPr>
          <w:rFonts w:hint="eastAsia"/>
        </w:rPr>
        <w:t xml:space="preserve">TP1总线速率仅9.6kbps），导致CSMA/CA碰撞检测触发大量报文重传——重传进一步加剧总线拥塞——形成恶性循环——部分设备的场景动作指令在数秒内无法送达，表现为”签到后窗帘不动作”或”灯光未切换”的设备响应死锁（Deadlock）。</w:t>
      </w:r>
    </w:p>
    <w:p>
      <w:pPr>
        <w:pStyle w:val="3"/>
      </w:pPr>
      <w:r>
        <w:rPr>
          <w:rFonts w:hint="eastAsia"/>
        </w:rPr>
        <w:t xml:space="preserve">同时，BACnet协议的UDP广播特性与KNX总线的CSMA/CA冲突检测机制在时序上不可调和——BACnet</w:t>
      </w:r>
      <w:r>
        <w:t xml:space="preserve"> </w:t>
      </w:r>
      <w:r>
        <w:rPr>
          <w:rFonts w:hint="eastAsia"/>
        </w:rPr>
        <w:t xml:space="preserve">Who-Is广播报文（UDP</w:t>
      </w:r>
      <w:r>
        <w:t xml:space="preserve"> </w:t>
      </w:r>
      <w:r>
        <w:rPr>
          <w:rFonts w:hint="eastAsia"/>
        </w:rPr>
        <w:t xml:space="preserve">47808端口）的发送时刻与KNX组写入报文的发送时刻在边缘网关的同一网络栈中产生资源竞争，导致BACnet设备发现的响应超时。</w:t>
      </w:r>
    </w:p>
    <w:p>
      <w:pPr>
        <w:pStyle w:val="3"/>
      </w:pPr>
      <w:r>
        <w:rPr>
          <w:rFonts w:hint="eastAsia"/>
        </w:rPr>
        <w:t xml:space="preserve">这两个问题的根因均指向同一技术缺陷——</w:t>
      </w:r>
      <w:r>
        <w:rPr>
          <w:rFonts w:hint="eastAsia"/>
        </w:rPr>
        <w:t xml:space="preserve">“缺乏协议操作时序的精确实时协调机制，直接将异构协议的指令不经调度地并发发送”</w:t>
      </w:r>
      <w:r>
        <w:rPr>
          <w:rFonts w:hint="eastAsia"/>
        </w:rPr>
        <w:t xml:space="preserve">。团队进行了架构级推翻重构：放弃了指令直接透传模式，专门研发了基于优先级调度的消息队列中间件（Priority-based</w:t>
      </w:r>
      <w:r>
        <w:t xml:space="preserve"> Message Queue </w:t>
      </w:r>
      <w:r>
        <w:rPr>
          <w:rFonts w:hint="eastAsia"/>
        </w:rPr>
        <w:t xml:space="preserve">Middleware），在各协议驱动之上增加统一的指令调度层——按协议总线带宽限制受控发送指令、按设备响应时序动态计算发送间隔、按场景优先级排序入队。</w:t>
      </w:r>
    </w:p>
    <w:p>
      <w:pPr>
        <w:pStyle w:val="3"/>
      </w:pPr>
      <w:r>
        <w:rPr>
          <w:rFonts w:hint="eastAsia"/>
        </w:rPr>
        <w:t xml:space="preserve">重构后团队通过对数百种设备响应逻辑的反复高并发压力仿真试验调试（涵盖DALI</w:t>
      </w:r>
      <w:r>
        <w:t xml:space="preserve"> </w:t>
      </w:r>
      <w:r>
        <w:rPr>
          <w:rFonts w:hint="eastAsia"/>
        </w:rPr>
        <w:t xml:space="preserve">64灯具全地址扫描/KNX</w:t>
      </w:r>
      <w:r>
        <w:t xml:space="preserve"> </w:t>
      </w:r>
      <w:r>
        <w:rPr>
          <w:rFonts w:hint="eastAsia"/>
        </w:rPr>
        <w:t xml:space="preserve">256组地址并发写入/BACnet</w:t>
      </w:r>
      <w:r>
        <w:t xml:space="preserve"> </w:t>
      </w:r>
      <w:r>
        <w:rPr>
          <w:rFonts w:hint="eastAsia"/>
        </w:rPr>
        <w:t xml:space="preserve">50设备Who-Is广播/Modbus</w:t>
      </w:r>
      <w:r>
        <w:t xml:space="preserve"> </w:t>
      </w:r>
      <w:r>
        <w:rPr>
          <w:rFonts w:hint="eastAsia"/>
        </w:rPr>
        <w:t xml:space="preserve">32从站轮询等极限场景），实现了对协议操作时序的精确控制（微秒级对齐），彻底消除了”指令风暴”导致的设备响应死锁问题。此次推翻重构的研发投入约占项目总工作量的30%，是证明本项目存在真实技术不确定性的核心论据——</w:t>
      </w:r>
      <w:r>
        <w:rPr>
          <w:rFonts w:hint="eastAsia"/>
        </w:rPr>
        <w:t xml:space="preserve">“在极高设备密度与极高响应标准下确保多协议并发联动的成功率”</w:t>
      </w:r>
      <w:r>
        <w:rPr>
          <w:rFonts w:hint="eastAsia"/>
        </w:rPr>
        <w:t xml:space="preserve">不是一个简单的系统集成问题，而是一个需要从通信原理层面解决的技术难题。</w:t>
      </w:r>
    </w:p>
    <w:p>
      <w:pPr>
        <w:pStyle w:val="3"/>
      </w:pPr>
      <w:r>
        <w:rPr>
          <w:rFonts w:hint="eastAsia"/>
        </w:rPr>
        <w:t xml:space="preserve">（2）BACnet/DALI/KNX三种协议在会议室场景的深度协议语义映射与解构——不同厂商设备的协议实现存在非标准行为（如BACnet对象的可选属性支持差异、DALI灯具对特定指令的响应时序差异——某品牌DALI镇流器在收到调光指令后需额外等待50ms才能接收下一条指令、KNX设备的组对象数量限制差异——某品牌KNX执行器最多支持128个组对象而非标准的256个），每协议语义映射与解构一个新品牌设备都可能遇到需要逆向工程的情况，协议语义映射与解构工作存在不确定性，需逐个品牌实测验证；</w:t>
      </w:r>
    </w:p>
    <w:p>
      <w:pPr>
        <w:pStyle w:val="3"/>
      </w:pPr>
      <w:r>
        <w:rPr>
          <w:rFonts w:hint="eastAsia"/>
        </w:rPr>
        <w:t xml:space="preserve">（3）音视频设备的RS232串口控制在边缘网关长周期运行下的稳定性——串口通信受温度（工业温度范围-20℃~70℃）、电磁干扰（会议室AV设备密集、电源线缆与信号线缆近距离平行布线）、硬件老化（串口芯片和线缆接口氧化）等因素影响，偶发指令丢失或乱码的恢复机制（超时重发/校验失败重发/三次重试后告警）需在长期运行中验证可靠性；</w:t>
      </w:r>
    </w:p>
    <w:p>
      <w:pPr>
        <w:pStyle w:val="3"/>
      </w:pPr>
      <w:r>
        <w:rPr>
          <w:rFonts w:hint="eastAsia"/>
        </w:rPr>
        <w:t xml:space="preserve">（4）基于有限状态机（FSM）的分布式协同调度在多会议室并发（如望潮中心数十间）时的执行可靠性——优先级调度消息队列的公平性（低优先级场景是否被高优先级场景持续抢占而饥饿）、总线速率限制的适应性（不同时段会议室使用密度差异导致的动态速率调整需求）、FSM异常自愈机制的完备性（所有边界异常场景的覆盖度），需通过大规模高并发压力仿真试验充分验证。</w:t>
      </w:r>
    </w:p>
    <w:p>
      <w:pPr>
        <w:pStyle w:val="3"/>
      </w:pPr>
      <w:r>
        <w:rPr>
          <w:rFonts w:hint="eastAsia"/>
        </w:rPr>
        <w:t xml:space="preserve">四、与现有技术/产品的对比</w:t>
      </w:r>
    </w:p>
    <w:tbl>
      <w:tblPr>
        <w:tblStyle w:val="Table"/>
        <w:tblW w:type="pct" w:w="5000"/>
        <w:tblLayout w:type="fixed"/>
        <w:tblLook w:firstRow="1" w:lastRow="0" w:firstColumn="0" w:lastColumn="0" w:noHBand="0" w:noVBand="0" w:val="0020"/>
      </w:tblPr>
      <w:tblGrid>
        <w:gridCol w:w="1800"/>
        <w:gridCol w:w="3420"/>
        <w:gridCol w:w="2700"/>
      </w:tblGrid>
      <w:tr>
        <w:trPr>
          <w:tblHeader w:val="on"/>
        </w:trPr>
        <w:tc>
          <w:tcPr/>
          <w:p>
            <w:pPr>
              <w:pStyle w:val="24"/>
            </w:pPr>
            <w:r>
              <w:rPr>
                <w:rFonts w:hint="eastAsia"/>
              </w:rPr>
              <w:t xml:space="preserve">对比维度</w:t>
            </w:r>
          </w:p>
        </w:tc>
        <w:tc>
          <w:tcPr/>
          <w:p>
            <w:pPr>
              <w:pStyle w:val="24"/>
            </w:pPr>
            <w:r>
              <w:rPr>
                <w:rFonts w:hint="eastAsia"/>
              </w:rPr>
              <w:t xml:space="preserve">现有会议室管理方案</w:t>
            </w:r>
          </w:p>
        </w:tc>
        <w:tc>
          <w:tcPr/>
          <w:p>
            <w:pPr>
              <w:pStyle w:val="24"/>
            </w:pPr>
            <w:r>
              <w:rPr>
                <w:rFonts w:hint="eastAsia"/>
              </w:rPr>
              <w:t xml:space="preserve">本项目技术方案</w:t>
            </w:r>
          </w:p>
        </w:tc>
      </w:tr>
      <w:tr>
        <w:tc>
          <w:tcPr/>
          <w:p>
            <w:pPr>
              <w:pStyle w:val="24"/>
            </w:pPr>
            <w:r>
              <w:rPr>
                <w:rFonts w:hint="eastAsia"/>
              </w:rPr>
              <w:t xml:space="preserve">设备控制</w:t>
            </w:r>
          </w:p>
        </w:tc>
        <w:tc>
          <w:tcPr/>
          <w:p>
            <w:pPr>
              <w:pStyle w:val="24"/>
            </w:pPr>
            <w:r>
              <w:rPr>
                <w:rFonts w:hint="eastAsia"/>
              </w:rPr>
              <w:t xml:space="preserve">独立遥控器/场景面板手动触发，无自动化基于异步事件驱动的跨系统状态机同步</w:t>
            </w:r>
          </w:p>
        </w:tc>
        <w:tc>
          <w:tcPr/>
          <w:p>
            <w:pPr>
              <w:pStyle w:val="24"/>
            </w:pPr>
            <w:r>
              <w:rPr>
                <w:rFonts w:hint="eastAsia"/>
              </w:rPr>
              <w:t xml:space="preserve">基于有限状态机（FSM）的分布式协同调度引擎（七状态模型），预约-签到事件自动触发全链路场景，优先级调度消息队列消解并发冲突</w:t>
            </w:r>
          </w:p>
        </w:tc>
      </w:tr>
      <w:tr>
        <w:tc>
          <w:tcPr/>
          <w:p>
            <w:pPr>
              <w:pStyle w:val="24"/>
            </w:pPr>
            <w:r>
              <w:rPr>
                <w:rFonts w:hint="eastAsia"/>
              </w:rPr>
              <w:t xml:space="preserve">协议支持</w:t>
            </w:r>
          </w:p>
        </w:tc>
        <w:tc>
          <w:tcPr/>
          <w:p>
            <w:pPr>
              <w:pStyle w:val="24"/>
            </w:pPr>
            <w:r>
              <w:rPr>
                <w:rFonts w:hint="eastAsia"/>
              </w:rPr>
              <w:t xml:space="preserve">单一协议或需分别部署四套独立控制系统（BACnet</w:t>
            </w:r>
            <w:r>
              <w:t xml:space="preserve"> </w:t>
            </w:r>
            <w:r>
              <w:rPr>
                <w:rFonts w:hint="eastAsia"/>
              </w:rPr>
              <w:t xml:space="preserve">DDC+DALI照明主机+KNX总线电源+Modbus网关）</w:t>
            </w:r>
          </w:p>
        </w:tc>
        <w:tc>
          <w:tcPr/>
          <w:p>
            <w:pPr>
              <w:pStyle w:val="24"/>
            </w:pPr>
            <w:r>
              <w:rPr>
                <w:rFonts w:hint="eastAsia"/>
              </w:rPr>
              <w:t xml:space="preserve">自主研发异构协议语义映射与实时解构引擎——协议驱动插件化运行容器+协议无关操作语义抽象层+语义适配算子，四种通信范式统一映射为一致的操作语义接口，单一边缘网关承载全部协议</w:t>
            </w:r>
          </w:p>
        </w:tc>
      </w:tr>
      <w:tr>
        <w:tc>
          <w:tcPr/>
          <w:p>
            <w:pPr>
              <w:pStyle w:val="24"/>
            </w:pPr>
            <w:r>
              <w:rPr>
                <w:rFonts w:hint="eastAsia"/>
              </w:rPr>
              <w:t xml:space="preserve">音视频集成</w:t>
            </w:r>
          </w:p>
        </w:tc>
        <w:tc>
          <w:tcPr/>
          <w:p>
            <w:pPr>
              <w:pStyle w:val="24"/>
            </w:pPr>
            <w:r>
              <w:rPr>
                <w:rFonts w:hint="eastAsia"/>
              </w:rPr>
              <w:t xml:space="preserve">独立遥控器逐一操作，AV设备完全游离于楼宇自控体系之外</w:t>
            </w:r>
          </w:p>
        </w:tc>
        <w:tc>
          <w:tcPr/>
          <w:p>
            <w:pPr>
              <w:pStyle w:val="24"/>
            </w:pPr>
            <w:r>
              <w:rPr>
                <w:rFonts w:hint="eastAsia"/>
              </w:rPr>
              <w:t xml:space="preserve">私有协议的边缘网关化标准转换——RS232串口逆向解析+协议抽象+MQTT/JSON实时双向转换，离散AV硬件转化为标准WebAPI可调用云端资源</w:t>
            </w:r>
          </w:p>
        </w:tc>
      </w:tr>
      <w:tr>
        <w:tc>
          <w:tcPr/>
          <w:p>
            <w:pPr>
              <w:pStyle w:val="24"/>
            </w:pPr>
            <w:r>
              <w:rPr>
                <w:rFonts w:hint="eastAsia"/>
              </w:rPr>
              <w:t xml:space="preserve">自动化程度</w:t>
            </w:r>
          </w:p>
        </w:tc>
        <w:tc>
          <w:tcPr/>
          <w:p>
            <w:pPr>
              <w:pStyle w:val="24"/>
            </w:pPr>
            <w:r>
              <w:rPr>
                <w:rFonts w:hint="eastAsia"/>
              </w:rPr>
              <w:t xml:space="preserve">预约系统与设备控制完全割裂</w:t>
            </w:r>
          </w:p>
        </w:tc>
        <w:tc>
          <w:tcPr/>
          <w:p>
            <w:pPr>
              <w:pStyle w:val="24"/>
            </w:pPr>
            <w:r>
              <w:rPr>
                <w:rFonts w:hint="eastAsia"/>
              </w:rPr>
              <w:t xml:space="preserve">基于有限状态机（FSM）的分布式协同调度——七状态自动流转+传感器信号实时纠偏+FSM异常自愈，全链路事件驱动闭环</w:t>
            </w:r>
          </w:p>
        </w:tc>
      </w:tr>
      <w:tr>
        <w:tc>
          <w:tcPr/>
          <w:p>
            <w:pPr>
              <w:pStyle w:val="24"/>
            </w:pPr>
            <w:r>
              <w:rPr>
                <w:rFonts w:hint="eastAsia"/>
              </w:rPr>
              <w:t xml:space="preserve">并发控制</w:t>
            </w:r>
          </w:p>
        </w:tc>
        <w:tc>
          <w:tcPr/>
          <w:p>
            <w:pPr>
              <w:pStyle w:val="24"/>
            </w:pPr>
            <w:r>
              <w:rPr>
                <w:rFonts w:hint="eastAsia"/>
              </w:rPr>
              <w:t xml:space="preserve">无并发场景（单会议室单控制面板）</w:t>
            </w:r>
          </w:p>
        </w:tc>
        <w:tc>
          <w:tcPr/>
          <w:p>
            <w:pPr>
              <w:pStyle w:val="24"/>
            </w:pPr>
            <w:r>
              <w:rPr>
                <w:rFonts w:hint="eastAsia"/>
              </w:rPr>
              <w:t xml:space="preserve">优先级调度消息队列中间件——数十间会议室并发场景下微秒级时序对齐+总线带宽受控发送+优先级排序</w:t>
            </w:r>
          </w:p>
        </w:tc>
      </w:tr>
      <w:tr>
        <w:tc>
          <w:tcPr/>
          <w:p>
            <w:pPr>
              <w:pStyle w:val="24"/>
            </w:pPr>
            <w:r>
              <w:rPr>
                <w:rFonts w:hint="eastAsia"/>
              </w:rPr>
              <w:t xml:space="preserve">视觉呈现</w:t>
            </w:r>
          </w:p>
        </w:tc>
        <w:tc>
          <w:tcPr/>
          <w:p>
            <w:pPr>
              <w:pStyle w:val="24"/>
            </w:pPr>
            <w:r>
              <w:rPr>
                <w:rFonts w:hint="eastAsia"/>
              </w:rPr>
              <w:t xml:space="preserve">简单列表视图</w:t>
            </w:r>
          </w:p>
        </w:tc>
        <w:tc>
          <w:tcPr/>
          <w:p>
            <w:pPr>
              <w:pStyle w:val="24"/>
            </w:pPr>
            <w:r>
              <w:rPr>
                <w:rFonts w:hint="eastAsia"/>
              </w:rPr>
              <w:t xml:space="preserve">2.5D数字沙盘+日历排期视图+实时状态颜色映射</w:t>
            </w:r>
          </w:p>
        </w:tc>
      </w:tr>
      <w:tr>
        <w:tc>
          <w:tcPr/>
          <w:p>
            <w:pPr>
              <w:pStyle w:val="24"/>
            </w:pPr>
            <w:r>
              <w:rPr>
                <w:rFonts w:hint="eastAsia"/>
              </w:rPr>
              <w:t xml:space="preserve">视频会议集成</w:t>
            </w:r>
          </w:p>
        </w:tc>
        <w:tc>
          <w:tcPr/>
          <w:p>
            <w:pPr>
              <w:pStyle w:val="24"/>
            </w:pPr>
            <w:r>
              <w:rPr>
                <w:rFonts w:hint="eastAsia"/>
              </w:rPr>
              <w:t xml:space="preserve">需单独操作视频会议软件</w:t>
            </w:r>
          </w:p>
        </w:tc>
        <w:tc>
          <w:tcPr/>
          <w:p>
            <w:pPr>
              <w:pStyle w:val="24"/>
            </w:pPr>
            <w:r>
              <w:rPr>
                <w:rFonts w:hint="eastAsia"/>
              </w:rPr>
              <w:t xml:space="preserve">中控平板集成腾讯会议/Zoom，一键入会+会中控制+结束基于异步事件驱动的跨系统状态机同步设备关闭</w:t>
            </w:r>
          </w:p>
        </w:tc>
      </w:tr>
    </w:tbl>
    <w:p>
      <w:pPr>
        <w:pStyle w:val="3"/>
      </w:pPr>
      <w:r>
        <w:rPr>
          <w:rFonts w:hint="eastAsia"/>
        </w:rPr>
        <w:t xml:space="preserve">五、项目核心团队与方法论支撑</w:t>
      </w:r>
    </w:p>
    <w:p>
      <w:pPr>
        <w:pStyle w:val="3"/>
      </w:pPr>
      <w:r>
        <w:rPr>
          <w:rFonts w:hint="eastAsia"/>
        </w:rPr>
        <w:t xml:space="preserve">本项目由公司首席架构师何铮（四川省”千人计划”专家、系统架构设计师（高级））领衔研发，针对异构协议语义模型的一致性进行了闭环设计——在项目初期的”指令直接透传”方案暴露”指令风暴”和设备响应死锁问题后，由何铮主导了向”优先级调度消息队列中间件+协议无关操作语义抽象层”架构的技术决策和方案评审，并对四种协议在通信机理层面的差异（面向对象/面向寄存器/面向地址/面向组对象）进行了系统化梳理，奠定了操作语义抽象层的设计基础。</w:t>
      </w:r>
    </w:p>
    <w:p>
      <w:pPr>
        <w:pStyle w:val="3"/>
      </w:pPr>
      <w:r>
        <w:rPr>
          <w:rFonts w:hint="eastAsia"/>
        </w:rPr>
        <w:t xml:space="preserve">系统核心控制逻辑全流程采用基于Node-RED的流式逻辑编程（Flow-based</w:t>
      </w:r>
      <w:r>
        <w:t xml:space="preserve"> Programming, </w:t>
      </w:r>
      <w:r>
        <w:rPr>
          <w:rFonts w:hint="eastAsia"/>
        </w:rPr>
        <w:t xml:space="preserve">FBP）方法论构建。团队编写了自定义Node-RED节点来封装四种协议的通信栈——BACnet节点（封装Who-Is设备发现+ReadProperty/WriteProperty服务）、Modbus节点（封装TCP/RTU双模式+功能码03/06/16+寄存器地址映射）、DALI节点（封装短地址/组地址寻址+电弧功率级/色温控制+场景预设）、KNX节点（封装TP1通信+组地址路由+DPT自动编解码）——使得每一间会议室的控制逻辑（场景定义、设备动作序列、时序编排）都可以通过编排和连接这些原子化节点完成，实现”热更新”部署，无需重启边缘网关服务。</w:t>
      </w:r>
    </w:p>
    <w:p>
      <w:pPr>
        <w:pStyle w:val="3"/>
      </w:pPr>
      <w:r>
        <w:rPr>
          <w:rFonts w:hint="eastAsia"/>
        </w:rPr>
        <w:t xml:space="preserve">何铮所著的《Node-RED物联网应用开发工程实践》（国内首部Node-RED工程应用专著）中，关于”多协议复杂自动化控制”的章节以本项目的异构协议语义映射与实时解构技术和基于有限状态机（FSM）的分布式协同调度引擎作为核心教学案例，系统阐述了如何在FBP范式下实现四种异构协议的语义统一和场景编排。这套协议解析与控制逻辑架构，不仅是极企会议室产品的技术基石，也为行业提供了可复用的”多协议楼宇自动化”通用方法论。</w:t>
      </w:r>
    </w:p>
    <w:p>
      <w:pPr>
        <w:pStyle w:val="3"/>
      </w:pPr>
      <w:r>
        <w:rPr>
          <w:rFonts w:hint="eastAsia"/>
        </w:rPr>
        <w:t xml:space="preserve">六、研发成果</w:t>
      </w:r>
    </w:p>
    <w:p>
      <w:pPr>
        <w:pStyle w:val="3"/>
      </w:pPr>
      <w:r>
        <w:rPr>
          <w:rFonts w:hint="eastAsia"/>
        </w:rPr>
        <w:t xml:space="preserve">（1）完成智能楼宇会议室系统V1.0开发及部署，已提交软件著作权登记申请：智能楼宇会议室系统</w:t>
      </w:r>
      <w:r>
        <w:t xml:space="preserve"> Buildingos.meetingroom </w:t>
      </w:r>
      <w:r>
        <w:rPr>
          <w:rFonts w:hint="eastAsia"/>
        </w:rPr>
        <w:t xml:space="preserve">V1.0（开发完成日期：2025年6月30日，登记申请提交日期：2026年4月，现审核中）；</w:t>
      </w:r>
    </w:p>
    <w:p>
      <w:pPr>
        <w:pStyle w:val="3"/>
      </w:pPr>
      <w:r>
        <w:rPr>
          <w:rFonts w:hint="eastAsia"/>
        </w:rPr>
        <w:t xml:space="preserve">（2）系统支持异构协议语义映射与实时解构技术（BACnet/Modbus/DALI/KNX四种协议统一操作语义接口+协议驱动插件化运行容器+语义适配算子自动映射）、私有协议的边缘网关化标准转换（RS232串口逆向解析+VISCA/PELCO-D协议抽象+MQTT/JSON实时双向转换）、基于有限状态机（FSM）的分布式协同调度（七状态模型+优先级调度消息队列+传感器信号实时纠偏+FSM异常自愈机制）、2.5D数字沙盘等核心技术能力；</w:t>
      </w:r>
    </w:p>
    <w:p>
      <w:pPr>
        <w:pStyle w:val="3"/>
      </w:pPr>
      <w:r>
        <w:rPr>
          <w:rFonts w:hint="eastAsia"/>
        </w:rPr>
        <w:t xml:space="preserve">（3）通过架构推翻重构（指令直接透传→优先级调度消息队列中间件+协议无关操作语义抽象层），解决了”指令风暴”导致的设备响应死锁问题。通过语义引擎的引入，多协议基于异步事件驱动的跨系统状态机同步响应成功率从70%提升至[99]%；在50间会议室并发场景下，单指令触发延迟保持在500ms以内；</w:t>
      </w:r>
    </w:p>
    <w:p>
      <w:pPr>
        <w:pStyle w:val="3"/>
      </w:pPr>
      <w:r>
        <w:rPr>
          <w:rFonts w:hint="eastAsia"/>
        </w:rPr>
        <w:t xml:space="preserve">（4）系统已在杭州望潮中心实际部署，管理数十间会议室的设备控制与全链路自动化，上线至今稳定运行；</w:t>
      </w:r>
    </w:p>
    <w:sect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pos="0" w:val="left"/>
        </w:tabs>
        <w:ind w:hanging="480" w:left="480"/>
      </w:pPr>
    </w:lvl>
    <w:lvl w:ilvl="1" w:tentative="0">
      <w:start w:val="0"/>
      <w:numFmt w:val="bullet"/>
      <w:lvlText w:val="–"/>
      <w:lvlJc w:val="left"/>
      <w:pPr>
        <w:tabs>
          <w:tab w:pos="720" w:val="left"/>
        </w:tabs>
        <w:ind w:hanging="480" w:left="1200"/>
      </w:pPr>
    </w:lvl>
    <w:lvl w:ilvl="2" w:tentative="0">
      <w:start w:val="0"/>
      <w:numFmt w:val="bullet"/>
      <w:lvlText w:val="•"/>
      <w:lvlJc w:val="left"/>
      <w:pPr>
        <w:tabs>
          <w:tab w:pos="1440" w:val="left"/>
        </w:tabs>
        <w:ind w:hanging="480" w:left="1920"/>
      </w:pPr>
    </w:lvl>
    <w:lvl w:ilvl="3" w:tentative="0">
      <w:start w:val="0"/>
      <w:numFmt w:val="bullet"/>
      <w:lvlText w:val="–"/>
      <w:lvlJc w:val="left"/>
      <w:pPr>
        <w:tabs>
          <w:tab w:pos="2160" w:val="left"/>
        </w:tabs>
        <w:ind w:hanging="480" w:left="2640"/>
      </w:pPr>
    </w:lvl>
    <w:lvl w:ilvl="4" w:tentative="0">
      <w:start w:val="0"/>
      <w:numFmt w:val="bullet"/>
      <w:lvlText w:val="•"/>
      <w:lvlJc w:val="left"/>
      <w:pPr>
        <w:tabs>
          <w:tab w:pos="2880" w:val="left"/>
        </w:tabs>
        <w:ind w:hanging="480" w:left="3360"/>
      </w:pPr>
    </w:lvl>
    <w:lvl w:ilvl="5" w:tentative="0">
      <w:start w:val="0"/>
      <w:numFmt w:val="bullet"/>
      <w:lvlText w:val="–"/>
      <w:lvlJc w:val="left"/>
      <w:pPr>
        <w:tabs>
          <w:tab w:pos="3600" w:val="left"/>
        </w:tabs>
        <w:ind w:hanging="480" w:left="4080"/>
      </w:pPr>
    </w:lvl>
    <w:lvl w:ilvl="6" w:tentative="0">
      <w:start w:val="0"/>
      <w:numFmt w:val="bullet"/>
      <w:lvlText w:val="•"/>
      <w:lvlJc w:val="left"/>
      <w:pPr>
        <w:tabs>
          <w:tab w:pos="4320" w:val="left"/>
        </w:tabs>
        <w:ind w:hanging="480" w:left="4800"/>
      </w:pPr>
    </w:lvl>
    <w:lvl w:ilvl="7" w:tentative="0">
      <w:start w:val="0"/>
      <w:numFmt w:val="bullet"/>
      <w:lvlText w:val="–"/>
      <w:lvlJc w:val="left"/>
      <w:pPr>
        <w:tabs>
          <w:tab w:pos="5040" w:val="left"/>
        </w:tabs>
        <w:ind w:hanging="480" w:left="5520"/>
      </w:pPr>
    </w:lvl>
    <w:lvl w:ilvl="8" w:tentative="0">
      <w:start w:val="0"/>
      <w:numFmt w:val="bullet"/>
      <w:lvlText w:val="•"/>
      <w:lvlJc w:val="left"/>
      <w:pPr>
        <w:tabs>
          <w:tab w:pos="5760" w:val="left"/>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5C94E7F"/>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outlineLvl w:val="0"/>
    </w:pPr>
    <w:rPr>
      <w:rFonts w:asciiTheme="majorHAnsi" w:cstheme="majorBidi" w:eastAsiaTheme="majorEastAsia" w:hAnsiTheme="majorHAnsi"/>
      <w:b/>
      <w:bCs/>
      <w:color w:themeColor="accent1" w:val="4F81BD"/>
      <w:sz w:val="32"/>
      <w:szCs w:val="32"/>
    </w:rPr>
  </w:style>
  <w:style w:styleId="4" w:type="paragraph">
    <w:name w:val="heading 2"/>
    <w:basedOn w:val="1"/>
    <w:next w:val="3"/>
    <w:unhideWhenUsed/>
    <w:qFormat/>
    <w:uiPriority w:val="9"/>
    <w:pPr>
      <w:keepNext/>
      <w:keepLines/>
      <w:spacing w:after="0" w:before="200"/>
      <w:outlineLvl w:val="1"/>
    </w:pPr>
    <w:rPr>
      <w:rFonts w:asciiTheme="majorHAnsi" w:cstheme="majorBidi" w:eastAsiaTheme="majorEastAsia" w:hAnsiTheme="majorHAnsi"/>
      <w:b/>
      <w:bCs/>
      <w:color w:themeColor="accent1" w:val="4F81BD"/>
      <w:sz w:val="28"/>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sz w:val="24"/>
      <w:szCs w:val="24"/>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sz w:val="24"/>
      <w:szCs w:val="24"/>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sz w:val="24"/>
      <w:szCs w:val="24"/>
    </w:rPr>
  </w:style>
  <w:style w:styleId="8" w:type="paragraph">
    <w:name w:val="heading 6"/>
    <w:basedOn w:val="1"/>
    <w:next w:val="3"/>
    <w:unhideWhenUsed/>
    <w:qFormat/>
    <w:uiPriority w:val="9"/>
    <w:pPr>
      <w:keepNext/>
      <w:keepLines/>
      <w:spacing w:after="0" w:before="200"/>
      <w:outlineLvl w:val="5"/>
    </w:pPr>
    <w:rPr>
      <w:rFonts w:asciiTheme="majorHAnsi" w:cstheme="majorBidi" w:eastAsiaTheme="majorEastAsia" w:hAnsiTheme="majorHAnsi"/>
      <w:color w:themeColor="accent1" w:val="4F81BD"/>
      <w:sz w:val="24"/>
      <w:szCs w:val="24"/>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sz w:val="24"/>
      <w:szCs w:val="24"/>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sz w:val="24"/>
      <w:szCs w:val="24"/>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sz w:val="24"/>
      <w:szCs w:val="24"/>
    </w:rPr>
  </w:style>
  <w:style w:default="1" w:styleId="19" w:type="character">
    <w:name w:val="Default Paragraph Font"/>
    <w:semiHidden/>
    <w:unhideWhenUsed/>
    <w:uiPriority w:val="0"/>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style>
  <w:style w:styleId="12" w:type="paragraph">
    <w:name w:val="caption"/>
    <w:basedOn w:val="1"/>
    <w:uiPriority w:val="0"/>
    <w:pPr>
      <w:spacing w:after="120" w:before="0"/>
    </w:pPr>
    <w:rPr>
      <w:i/>
    </w:rPr>
  </w:style>
  <w:style w:styleId="13" w:type="paragraph">
    <w:name w:val="Block Text"/>
    <w:basedOn w:val="3"/>
    <w:next w:val="3"/>
    <w:unhideWhenUsed/>
    <w:qFormat/>
    <w:uiPriority w:val="9"/>
    <w:pPr>
      <w:spacing w:after="100" w:before="100"/>
      <w:ind w:firstLine="0" w:left="480" w:right="480"/>
    </w:pPr>
  </w:style>
  <w:style w:styleId="14"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15" w:type="paragraph">
    <w:name w:val="Subtitle"/>
    <w:basedOn w:val="16"/>
    <w:next w:val="3"/>
    <w:qFormat/>
    <w:uiPriority w:val="0"/>
    <w:pPr>
      <w:keepNext/>
      <w:keepLines/>
      <w:spacing w:after="240" w:before="240"/>
      <w:jc w:val="center"/>
    </w:pPr>
    <w:rPr>
      <w:sz w:val="30"/>
      <w:szCs w:val="30"/>
    </w:rPr>
  </w:style>
  <w:style w:styleId="16"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35B8A"/>
      <w:sz w:val="36"/>
      <w:szCs w:val="36"/>
    </w:rPr>
  </w:style>
  <w:style w:styleId="17" w:type="paragraph">
    <w:name w:val="footnote text"/>
    <w:basedOn w:val="1"/>
    <w:unhideWhenUsed/>
    <w:qFormat/>
    <w:uiPriority w:val="9"/>
  </w:style>
  <w:style w:styleId="20" w:type="character">
    <w:name w:val="Hyperlink"/>
    <w:basedOn w:val="21"/>
    <w:qFormat/>
    <w:uiPriority w:val="0"/>
    <w:rPr>
      <w:color w:themeColor="accent1" w:val="4F81BD"/>
    </w:rPr>
  </w:style>
  <w:style w:customStyle="1" w:styleId="21" w:type="character">
    <w:name w:val="Body Text Char"/>
    <w:basedOn w:val="19"/>
    <w:link w:val="3"/>
    <w:uiPriority w:val="0"/>
  </w:style>
  <w:style w:styleId="22" w:type="character">
    <w:name w:val="footnote reference"/>
    <w:basedOn w:val="21"/>
    <w:qFormat/>
    <w:uiPriority w:val="0"/>
    <w:rPr>
      <w:vertAlign w:val="superscript"/>
    </w:rPr>
  </w:style>
  <w:style w:customStyle="1" w:styleId="23" w:type="paragraph">
    <w:name w:val="First Paragraph"/>
    <w:basedOn w:val="3"/>
    <w:next w:val="3"/>
    <w:qFormat/>
    <w:uiPriority w:val="0"/>
  </w:style>
  <w:style w:customStyle="1" w:styleId="24" w:type="paragraph">
    <w:name w:val="Compact"/>
    <w:basedOn w:val="3"/>
    <w:qFormat/>
    <w:uiPriority w:val="0"/>
    <w:pPr>
      <w:spacing w:after="36" w:before="36"/>
    </w:pPr>
  </w:style>
  <w:style w:customStyle="1" w:styleId="25"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6" w:type="paragraph">
    <w:name w:val="Abstract"/>
    <w:basedOn w:val="1"/>
    <w:next w:val="3"/>
    <w:qFormat/>
    <w:uiPriority w:val="0"/>
    <w:pPr>
      <w:keepNext/>
      <w:keepLines/>
      <w:spacing w:after="300" w:before="300"/>
    </w:pPr>
    <w:rPr>
      <w:sz w:val="20"/>
      <w:szCs w:val="20"/>
    </w:rPr>
  </w:style>
  <w:style w:customStyle="1" w:styleId="27" w:type="paragraph">
    <w:name w:val="Bibliography"/>
    <w:basedOn w:val="1"/>
    <w:qFormat/>
    <w:uiPriority w:val="0"/>
  </w:style>
  <w:style w:customStyle="1" w:styleId="28" w:type="table">
    <w:name w:val="Table"/>
    <w:semiHidden/>
    <w:unhideWhenUsed/>
    <w:qFormat/>
    <w:uiPriority w:val="0"/>
    <w:tblPr>
      <w:tblCellMar>
        <w:top w:type="dxa" w:w="0"/>
        <w:left w:type="dxa" w:w="108"/>
        <w:bottom w:type="dxa" w:w="0"/>
        <w:right w:type="dxa" w:w="108"/>
      </w:tblCellMar>
    </w:tblPr>
  </w:style>
  <w:style w:customStyle="1" w:styleId="29" w:type="paragraph">
    <w:name w:val="Definition Term"/>
    <w:basedOn w:val="1"/>
    <w:next w:val="30"/>
    <w:uiPriority w:val="0"/>
    <w:pPr>
      <w:keepNext/>
      <w:keepLines/>
      <w:spacing w:after="0"/>
    </w:pPr>
    <w:rPr>
      <w:b/>
    </w:rPr>
  </w:style>
  <w:style w:customStyle="1" w:styleId="30" w:type="paragraph">
    <w:name w:val="Definition"/>
    <w:basedOn w:val="1"/>
    <w:uiPriority w:val="0"/>
  </w:style>
  <w:style w:customStyle="1" w:styleId="31" w:type="paragraph">
    <w:name w:val="Table Caption"/>
    <w:basedOn w:val="12"/>
    <w:qFormat/>
    <w:uiPriority w:val="0"/>
    <w:pPr>
      <w:keepNext/>
    </w:pPr>
  </w:style>
  <w:style w:customStyle="1" w:styleId="32" w:type="paragraph">
    <w:name w:val="Image Caption"/>
    <w:basedOn w:val="12"/>
    <w:uiPriority w:val="0"/>
  </w:style>
  <w:style w:customStyle="1" w:styleId="33" w:type="paragraph">
    <w:name w:val="Figure"/>
    <w:basedOn w:val="1"/>
    <w:qFormat/>
    <w:uiPriority w:val="0"/>
  </w:style>
  <w:style w:customStyle="1" w:styleId="34" w:type="paragraph">
    <w:name w:val="Captioned Figure"/>
    <w:basedOn w:val="33"/>
    <w:qFormat/>
    <w:uiPriority w:val="0"/>
    <w:pPr>
      <w:keepNext/>
    </w:pPr>
  </w:style>
  <w:style w:customStyle="1" w:styleId="35" w:type="character">
    <w:name w:val="Verbatim Char"/>
    <w:basedOn w:val="21"/>
    <w:link w:val="36"/>
    <w:qFormat/>
    <w:uiPriority w:val="0"/>
    <w:rPr>
      <w:rFonts w:ascii="Consolas" w:hAnsi="Consolas"/>
      <w:sz w:val="22"/>
    </w:rPr>
  </w:style>
  <w:style w:customStyle="1" w:styleId="36" w:type="paragraph">
    <w:name w:val="Source Code"/>
    <w:basedOn w:val="1"/>
    <w:link w:val="35"/>
    <w:uiPriority w:val="0"/>
    <w:pPr>
      <w:wordWrap w:val="0"/>
    </w:pPr>
  </w:style>
  <w:style w:customStyle="1" w:styleId="37" w:type="paragraph">
    <w:name w:val="TOC Heading"/>
    <w:basedOn w:val="2"/>
    <w:next w:val="3"/>
    <w:unhideWhenUsed/>
    <w:qFormat/>
    <w:uiPriority w:val="39"/>
    <w:pPr>
      <w:spacing w:before="240" w:line="259" w:lineRule="auto"/>
      <w:outlineLvl w:val="9"/>
    </w:pPr>
    <w:rPr>
      <w:rFonts w:asciiTheme="majorHAnsi" w:cstheme="majorBidi" w:eastAsiaTheme="majorEastAsia" w:hAnsiTheme="majorHAnsi"/>
      <w:b w:val="0"/>
      <w:bCs w:val="0"/>
      <w:color w:themeColor="accent1" w:themeShade="BF" w:val="366091"/>
    </w:rPr>
  </w:style>
  <w:style w:customStyle="1" w:styleId="38" w:type="character">
    <w:name w:val="KeywordTok"/>
    <w:basedOn w:val="35"/>
    <w:qFormat/>
    <w:uiPriority w:val="0"/>
    <w:rPr>
      <w:b/>
      <w:color w:val="007020"/>
    </w:rPr>
  </w:style>
  <w:style w:customStyle="1" w:styleId="39" w:type="character">
    <w:name w:val="DataTypeTok"/>
    <w:basedOn w:val="35"/>
    <w:qFormat/>
    <w:uiPriority w:val="0"/>
    <w:rPr>
      <w:color w:val="902000"/>
    </w:rPr>
  </w:style>
  <w:style w:customStyle="1" w:styleId="40" w:type="character">
    <w:name w:val="DecValTok"/>
    <w:basedOn w:val="35"/>
    <w:qFormat/>
    <w:uiPriority w:val="0"/>
    <w:rPr>
      <w:color w:val="40A070"/>
    </w:rPr>
  </w:style>
  <w:style w:customStyle="1" w:styleId="41" w:type="character">
    <w:name w:val="BaseNTok"/>
    <w:basedOn w:val="35"/>
    <w:uiPriority w:val="0"/>
    <w:rPr>
      <w:color w:val="40A070"/>
    </w:rPr>
  </w:style>
  <w:style w:customStyle="1" w:styleId="42" w:type="character">
    <w:name w:val="FloatTok"/>
    <w:basedOn w:val="35"/>
    <w:qFormat/>
    <w:uiPriority w:val="0"/>
    <w:rPr>
      <w:color w:val="40A070"/>
    </w:rPr>
  </w:style>
  <w:style w:customStyle="1" w:styleId="43" w:type="character">
    <w:name w:val="ConstantTok"/>
    <w:basedOn w:val="35"/>
    <w:qFormat/>
    <w:uiPriority w:val="0"/>
    <w:rPr>
      <w:color w:val="880000"/>
    </w:rPr>
  </w:style>
  <w:style w:customStyle="1" w:styleId="44" w:type="character">
    <w:name w:val="CharTok"/>
    <w:basedOn w:val="35"/>
    <w:qFormat/>
    <w:uiPriority w:val="0"/>
    <w:rPr>
      <w:color w:val="4070A0"/>
    </w:rPr>
  </w:style>
  <w:style w:customStyle="1" w:styleId="45" w:type="character">
    <w:name w:val="SpecialCharTok"/>
    <w:basedOn w:val="35"/>
    <w:qFormat/>
    <w:uiPriority w:val="0"/>
    <w:rPr>
      <w:color w:val="4070A0"/>
    </w:rPr>
  </w:style>
  <w:style w:customStyle="1" w:styleId="46" w:type="character">
    <w:name w:val="StringTok"/>
    <w:basedOn w:val="35"/>
    <w:uiPriority w:val="0"/>
    <w:rPr>
      <w:color w:val="4070A0"/>
    </w:rPr>
  </w:style>
  <w:style w:customStyle="1" w:styleId="47" w:type="character">
    <w:name w:val="VerbatimStringTok"/>
    <w:basedOn w:val="35"/>
    <w:qFormat/>
    <w:uiPriority w:val="0"/>
    <w:rPr>
      <w:color w:val="4070A0"/>
    </w:rPr>
  </w:style>
  <w:style w:customStyle="1" w:styleId="48" w:type="character">
    <w:name w:val="SpecialStringTok"/>
    <w:basedOn w:val="35"/>
    <w:qFormat/>
    <w:uiPriority w:val="0"/>
    <w:rPr>
      <w:color w:val="BB6688"/>
    </w:rPr>
  </w:style>
  <w:style w:customStyle="1" w:styleId="49" w:type="character">
    <w:name w:val="ImportTok"/>
    <w:basedOn w:val="35"/>
    <w:uiPriority w:val="0"/>
  </w:style>
  <w:style w:customStyle="1" w:styleId="50" w:type="character">
    <w:name w:val="CommentTok"/>
    <w:basedOn w:val="35"/>
    <w:qFormat/>
    <w:uiPriority w:val="0"/>
    <w:rPr>
      <w:i/>
      <w:color w:val="60A0B0"/>
    </w:rPr>
  </w:style>
  <w:style w:customStyle="1" w:styleId="51" w:type="character">
    <w:name w:val="DocumentationTok"/>
    <w:basedOn w:val="35"/>
    <w:qFormat/>
    <w:uiPriority w:val="0"/>
    <w:rPr>
      <w:i/>
      <w:color w:val="BA2121"/>
    </w:rPr>
  </w:style>
  <w:style w:customStyle="1" w:styleId="52" w:type="character">
    <w:name w:val="AnnotationTok"/>
    <w:basedOn w:val="35"/>
    <w:uiPriority w:val="0"/>
    <w:rPr>
      <w:b/>
      <w:i/>
      <w:color w:val="60A0B0"/>
    </w:rPr>
  </w:style>
  <w:style w:customStyle="1" w:styleId="53" w:type="character">
    <w:name w:val="CommentVarTok"/>
    <w:basedOn w:val="35"/>
    <w:qFormat/>
    <w:uiPriority w:val="0"/>
    <w:rPr>
      <w:b/>
      <w:i/>
      <w:color w:val="60A0B0"/>
    </w:rPr>
  </w:style>
  <w:style w:customStyle="1" w:styleId="54" w:type="character">
    <w:name w:val="OtherTok"/>
    <w:basedOn w:val="35"/>
    <w:qFormat/>
    <w:uiPriority w:val="0"/>
    <w:rPr>
      <w:color w:val="007020"/>
    </w:rPr>
  </w:style>
  <w:style w:customStyle="1" w:styleId="55" w:type="character">
    <w:name w:val="FunctionTok"/>
    <w:basedOn w:val="35"/>
    <w:qFormat/>
    <w:uiPriority w:val="0"/>
    <w:rPr>
      <w:color w:val="06287E"/>
    </w:rPr>
  </w:style>
  <w:style w:customStyle="1" w:styleId="56" w:type="character">
    <w:name w:val="VariableTok"/>
    <w:basedOn w:val="35"/>
    <w:qFormat/>
    <w:uiPriority w:val="0"/>
    <w:rPr>
      <w:color w:val="19177C"/>
    </w:rPr>
  </w:style>
  <w:style w:customStyle="1" w:styleId="57" w:type="character">
    <w:name w:val="ControlFlowTok"/>
    <w:basedOn w:val="35"/>
    <w:qFormat/>
    <w:uiPriority w:val="0"/>
    <w:rPr>
      <w:b/>
      <w:color w:val="007020"/>
    </w:rPr>
  </w:style>
  <w:style w:customStyle="1" w:styleId="58" w:type="character">
    <w:name w:val="OperatorTok"/>
    <w:basedOn w:val="35"/>
    <w:uiPriority w:val="0"/>
    <w:rPr>
      <w:color w:val="666666"/>
    </w:rPr>
  </w:style>
  <w:style w:customStyle="1" w:styleId="59" w:type="character">
    <w:name w:val="BuiltInTok"/>
    <w:basedOn w:val="35"/>
    <w:qFormat/>
    <w:uiPriority w:val="0"/>
  </w:style>
  <w:style w:customStyle="1" w:styleId="60" w:type="character">
    <w:name w:val="ExtensionTok"/>
    <w:basedOn w:val="35"/>
    <w:uiPriority w:val="0"/>
  </w:style>
  <w:style w:customStyle="1" w:styleId="61" w:type="character">
    <w:name w:val="PreprocessorTok"/>
    <w:basedOn w:val="35"/>
    <w:qFormat/>
    <w:uiPriority w:val="0"/>
    <w:rPr>
      <w:color w:val="BC7A00"/>
    </w:rPr>
  </w:style>
  <w:style w:customStyle="1" w:styleId="62" w:type="character">
    <w:name w:val="AttributeTok"/>
    <w:basedOn w:val="35"/>
    <w:qFormat/>
    <w:uiPriority w:val="0"/>
    <w:rPr>
      <w:color w:val="7D9029"/>
    </w:rPr>
  </w:style>
  <w:style w:customStyle="1" w:styleId="63" w:type="character">
    <w:name w:val="RegionMarkerTok"/>
    <w:basedOn w:val="35"/>
    <w:qFormat/>
    <w:uiPriority w:val="0"/>
  </w:style>
  <w:style w:customStyle="1" w:styleId="64" w:type="character">
    <w:name w:val="InformationTok"/>
    <w:basedOn w:val="35"/>
    <w:qFormat/>
    <w:uiPriority w:val="0"/>
    <w:rPr>
      <w:b/>
      <w:i/>
      <w:color w:val="60A0B0"/>
    </w:rPr>
  </w:style>
  <w:style w:customStyle="1" w:styleId="65" w:type="character">
    <w:name w:val="WarningTok"/>
    <w:basedOn w:val="35"/>
    <w:uiPriority w:val="0"/>
    <w:rPr>
      <w:b/>
      <w:i/>
      <w:color w:val="60A0B0"/>
    </w:rPr>
  </w:style>
  <w:style w:customStyle="1" w:styleId="66" w:type="character">
    <w:name w:val="AlertTok"/>
    <w:basedOn w:val="35"/>
    <w:uiPriority w:val="0"/>
    <w:rPr>
      <w:b/>
      <w:color w:val="FF0000"/>
    </w:rPr>
  </w:style>
  <w:style w:customStyle="1" w:styleId="67" w:type="character">
    <w:name w:val="ErrorTok"/>
    <w:basedOn w:val="35"/>
    <w:qFormat/>
    <w:uiPriority w:val="0"/>
    <w:rPr>
      <w:b/>
      <w:color w:val="FF0000"/>
    </w:rPr>
  </w:style>
  <w:style w:customStyle="1" w:styleId="68" w:type="character">
    <w:name w:val="NormalTok"/>
    <w:basedOn w:val="35"/>
    <w:uiPriority w:val="0"/>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1166</Words>
  <Characters>1337</Characters>
  <Lines>12</Lines>
  <Paragraphs>8</Paragraphs>
  <TotalTime>8</TotalTime>
  <ScaleCrop>false</ScaleCrop>
  <LinksUpToDate>false</LinksUpToDate>
  <CharactersWithSpaces>1346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2026-05-29T08:10:32Z</dcterms:created>
  <dcterms:modified xsi:type="dcterms:W3CDTF">2026-05-29T08:10:32Z</dcterms:modified>
</cp:coreProperties>
</file>

<file path=docProps/custom.xml><?xml version="1.0" encoding="utf-8"?>
<Properties xmlns="http://schemas.openxmlformats.org/officeDocument/2006/custom-properties" xmlns:vt="http://schemas.openxmlformats.org/officeDocument/2006/docPropsVTypes"/>
</file>