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23"/>
      </w:pPr>
      <w:r>
        <w:rPr>
          <w:rFonts w:hint="eastAsia"/>
        </w:rPr>
        <w:t xml:space="preserve">极企楼宇AIoT底层技术预研</w:t>
      </w:r>
      <w:r>
        <w:t xml:space="preserve"> </w:t>
      </w:r>
      <w:r>
        <w:rPr>
          <w:rFonts w:hint="eastAsia"/>
        </w:rPr>
        <w:t xml:space="preserve">技术补充说明</w:t>
      </w:r>
    </w:p>
    <w:p>
      <w:pPr>
        <w:pStyle w:val="3"/>
      </w:pPr>
      <w:r>
        <w:rPr>
          <w:rFonts w:hint="eastAsia"/>
        </w:rPr>
        <w:t xml:space="preserve">项目编号：JQ2025005</w:t>
      </w:r>
    </w:p>
    <w:p>
      <w:pPr>
        <w:pStyle w:val="3"/>
      </w:pPr>
      <w:r>
        <w:rPr>
          <w:rFonts w:hint="eastAsia"/>
        </w:rPr>
        <w:t xml:space="preserve">本补充说明系对已提交的《极企楼宇AIoT底层技术预研立项报告》中研发内容、核心技术与创新点的进一步深化阐述，旨在更完整地呈现项目研发的技术攻关实质，与原立项报告内容一致，不存在矛盾。</w:t>
      </w:r>
    </w:p>
    <w:p>
      <w:pPr>
        <w:pStyle w:val="3"/>
      </w:pPr>
      <w:r>
        <w:rPr>
          <w:rFonts w:hint="eastAsia"/>
        </w:rPr>
        <w:t xml:space="preserve">一、技术背景与项目定位</w:t>
      </w:r>
    </w:p>
    <w:p>
      <w:pPr>
        <w:pStyle w:val="3"/>
      </w:pPr>
      <w:r>
        <w:t xml:space="preserve">1.1 </w:t>
      </w:r>
      <w:r>
        <w:rPr>
          <w:rFonts w:hint="eastAsia"/>
        </w:rPr>
        <w:t xml:space="preserve">项目启动背景</w:t>
      </w:r>
    </w:p>
    <w:p>
      <w:pPr>
        <w:pStyle w:val="3"/>
      </w:pPr>
      <w:r>
        <w:rPr>
          <w:rFonts w:hint="eastAsia"/>
        </w:rPr>
        <w:t xml:space="preserve">2024年1月至2025年7月期间，公司并行开展了5个楼宇智能化应用系统的研发工作——通行系统（JQ2024001）、访客系统（JQ2024002）、空间预约系统（JQ2024003）、会议室系统（JQ2025001）、卫生间系统（JQ2025002）。5个系统各自独立完成了本场景的设备协议语义映射与解构和技术攻关，但在推进过程中，以下共性技术问题日益突出：</w:t>
      </w:r>
    </w:p>
    <w:p>
      <w:pPr>
        <w:pStyle w:val="3"/>
      </w:pPr>
      <w:r>
        <w:rPr>
          <w:rFonts w:hint="eastAsia"/>
        </w:rPr>
        <w:t xml:space="preserve">（1）异构协议语义映射工作大量重复——5个系统各自独立开发了不同协议的语义映射逻辑：</w:t>
      </w:r>
    </w:p>
    <w:tbl>
      <w:tblPr>
        <w:tblStyle w:val="Table"/>
        <w:tblW w:type="pct" w:w="5000"/>
        <w:tblLayout w:type="fixed"/>
        <w:tblLook w:firstRow="1" w:lastRow="0" w:firstColumn="0" w:lastColumn="0" w:noHBand="0" w:noVBand="0" w:val="0020"/>
      </w:tblPr>
      <w:tblGrid>
        <w:gridCol w:w="1188"/>
        <w:gridCol w:w="4158"/>
        <w:gridCol w:w="2574"/>
      </w:tblGrid>
      <w:tr>
        <w:trPr>
          <w:tblHeader w:val="on"/>
        </w:trPr>
        <w:tc>
          <w:tcPr/>
          <w:p>
            <w:pPr>
              <w:pStyle w:val="24"/>
            </w:pPr>
            <w:r>
              <w:rPr>
                <w:rFonts w:hint="eastAsia"/>
              </w:rPr>
              <w:t xml:space="preserve">系统</w:t>
            </w:r>
          </w:p>
        </w:tc>
        <w:tc>
          <w:tcPr/>
          <w:p>
            <w:pPr>
              <w:pStyle w:val="24"/>
            </w:pPr>
            <w:r>
              <w:rPr>
                <w:rFonts w:hint="eastAsia"/>
              </w:rPr>
              <w:t xml:space="preserve">已实现的协议语义映射</w:t>
            </w:r>
          </w:p>
        </w:tc>
        <w:tc>
          <w:tcPr/>
          <w:p>
            <w:pPr>
              <w:pStyle w:val="24"/>
            </w:pPr>
            <w:r>
              <w:rPr>
                <w:rFonts w:hint="eastAsia"/>
              </w:rPr>
              <w:t xml:space="preserve">映射设备类型</w:t>
            </w:r>
          </w:p>
        </w:tc>
      </w:tr>
      <w:tr>
        <w:tc>
          <w:tcPr/>
          <w:p>
            <w:pPr>
              <w:pStyle w:val="24"/>
            </w:pPr>
            <w:r>
              <w:rPr>
                <w:rFonts w:hint="eastAsia"/>
              </w:rPr>
              <w:t xml:space="preserve">通行系统</w:t>
            </w:r>
          </w:p>
        </w:tc>
        <w:tc>
          <w:tcPr/>
          <w:p>
            <w:pPr>
              <w:pStyle w:val="24"/>
            </w:pPr>
            <w:r>
              <w:t xml:space="preserve">MQTT、HTTP、RS485</w:t>
            </w:r>
          </w:p>
        </w:tc>
        <w:tc>
          <w:tcPr/>
          <w:p>
            <w:pPr>
              <w:pStyle w:val="24"/>
            </w:pPr>
            <w:r>
              <w:rPr>
                <w:rFonts w:hint="eastAsia"/>
              </w:rPr>
              <w:t xml:space="preserve">人脸终端（MQTT）、门禁控制器（HTTP）、梯控控制器（RS485）</w:t>
            </w:r>
          </w:p>
        </w:tc>
      </w:tr>
      <w:tr>
        <w:tc>
          <w:tcPr/>
          <w:p>
            <w:pPr>
              <w:pStyle w:val="24"/>
            </w:pPr>
            <w:r>
              <w:rPr>
                <w:rFonts w:hint="eastAsia"/>
              </w:rPr>
              <w:t xml:space="preserve">会议室系统</w:t>
            </w:r>
          </w:p>
        </w:tc>
        <w:tc>
          <w:tcPr/>
          <w:p>
            <w:pPr>
              <w:pStyle w:val="24"/>
            </w:pPr>
            <w:r>
              <w:t xml:space="preserve">BACnet、DALI、KNX、Modbus RTU/TCP、RS232</w:t>
            </w:r>
          </w:p>
        </w:tc>
        <w:tc>
          <w:tcPr/>
          <w:p>
            <w:pPr>
              <w:pStyle w:val="24"/>
            </w:pPr>
            <w:r>
              <w:rPr>
                <w:rFonts w:hint="eastAsia"/>
              </w:rPr>
              <w:t xml:space="preserve">空调/新风（BACnet）、照明（DALI）、窗帘（KNX）、空调网关（Modbus）、音视频矩阵/摄像头/音频DSP（RS232）</w:t>
            </w:r>
          </w:p>
        </w:tc>
      </w:tr>
      <w:tr>
        <w:tc>
          <w:tcPr/>
          <w:p>
            <w:pPr>
              <w:pStyle w:val="24"/>
            </w:pPr>
            <w:r>
              <w:rPr>
                <w:rFonts w:hint="eastAsia"/>
              </w:rPr>
              <w:t xml:space="preserve">卫生间系统</w:t>
            </w:r>
          </w:p>
        </w:tc>
        <w:tc>
          <w:tcPr/>
          <w:p>
            <w:pPr>
              <w:pStyle w:val="24"/>
            </w:pPr>
            <w:r>
              <w:t xml:space="preserve">Modbus/RS485、LoRa、Zigbee、NB-IoT</w:t>
            </w:r>
          </w:p>
        </w:tc>
        <w:tc>
          <w:tcPr/>
          <w:p>
            <w:pPr>
              <w:pStyle w:val="24"/>
            </w:pPr>
            <w:r>
              <w:rPr>
                <w:rFonts w:hint="eastAsia"/>
              </w:rPr>
              <w:t xml:space="preserve">环境传感器（Modbus/LoRa/Zigbee）、厕位传感器（Modbus）、客流计数器（HTTP）</w:t>
            </w:r>
          </w:p>
        </w:tc>
      </w:tr>
      <w:tr>
        <w:tc>
          <w:tcPr/>
          <w:p>
            <w:pPr>
              <w:pStyle w:val="24"/>
            </w:pPr>
            <w:r>
              <w:rPr>
                <w:rFonts w:hint="eastAsia"/>
              </w:rPr>
              <w:t xml:space="preserve">访客系统</w:t>
            </w:r>
          </w:p>
        </w:tc>
        <w:tc>
          <w:tcPr/>
          <w:p>
            <w:pPr>
              <w:pStyle w:val="24"/>
            </w:pPr>
            <w:r>
              <w:t xml:space="preserve">HTTP、MQTT</w:t>
            </w:r>
          </w:p>
        </w:tc>
        <w:tc>
          <w:tcPr/>
          <w:p>
            <w:pPr>
              <w:pStyle w:val="24"/>
            </w:pPr>
            <w:r>
              <w:rPr>
                <w:rFonts w:hint="eastAsia"/>
              </w:rPr>
              <w:t xml:space="preserve">复用通行系统的设备通道（依赖通行系统API）</w:t>
            </w:r>
          </w:p>
        </w:tc>
      </w:tr>
      <w:tr>
        <w:tc>
          <w:tcPr/>
          <w:p>
            <w:pPr>
              <w:pStyle w:val="24"/>
            </w:pPr>
            <w:r>
              <w:rPr>
                <w:rFonts w:hint="eastAsia"/>
              </w:rPr>
              <w:t xml:space="preserve">空间预约系统</w:t>
            </w:r>
          </w:p>
        </w:tc>
        <w:tc>
          <w:tcPr/>
          <w:p>
            <w:pPr>
              <w:pStyle w:val="24"/>
            </w:pPr>
            <w:r>
              <w:t xml:space="preserve">MQTT</w:t>
            </w:r>
          </w:p>
        </w:tc>
        <w:tc>
          <w:tcPr/>
          <w:p>
            <w:pPr>
              <w:pStyle w:val="24"/>
            </w:pPr>
            <w:r>
              <w:rPr>
                <w:rFonts w:hint="eastAsia"/>
              </w:rPr>
              <w:t xml:space="preserve">人体传感器（MQTT，经边缘网关）、智能插座（MQTT）</w:t>
            </w:r>
          </w:p>
        </w:tc>
      </w:tr>
    </w:tbl>
    <w:p>
      <w:pPr>
        <w:pStyle w:val="3"/>
      </w:pPr>
      <w:r>
        <w:rPr>
          <w:rFonts w:hint="eastAsia"/>
        </w:rPr>
        <w:t xml:space="preserve">上述总计涉及7种通信协议的语义映射实现（MQTT、HTTP、RS485、BACnet、DALI、KNX、Modbus），由不同项目组独立开发，代码不可共用。同一种协议（如Modbus）在不同系统中的语义映射实现方式不同——通行系统用Modbus</w:t>
      </w:r>
      <w:r>
        <w:t xml:space="preserve"> </w:t>
      </w:r>
      <w:r>
        <w:rPr>
          <w:rFonts w:hint="eastAsia"/>
        </w:rPr>
        <w:t xml:space="preserve">RTU接梯控（操作功能码06写单个寄存器）、会议室系统用Modbus</w:t>
      </w:r>
      <w:r>
        <w:t xml:space="preserve"> </w:t>
      </w:r>
      <w:r>
        <w:rPr>
          <w:rFonts w:hint="eastAsia"/>
        </w:rPr>
        <w:t xml:space="preserve">TCP接空调网关（操作功能码16写多个寄存器）、卫生间系统用Modbus</w:t>
      </w:r>
      <w:r>
        <w:t xml:space="preserve"> </w:t>
      </w:r>
      <w:r>
        <w:rPr>
          <w:rFonts w:hint="eastAsia"/>
        </w:rPr>
        <w:t xml:space="preserve">RTU接多种传感器（操作功能码03/04读寄存器）——三套代码各自由不同人员编写，维护成本高。新增一种设备类型（如新增OPC</w:t>
      </w:r>
      <w:r>
        <w:t xml:space="preserve"> </w:t>
      </w:r>
      <w:r>
        <w:rPr>
          <w:rFonts w:hint="eastAsia"/>
        </w:rPr>
        <w:t xml:space="preserve">UA协议的BA系统）需在每个相关系统中分别开发语义映射逻辑，周期长、重复投入大；</w:t>
      </w:r>
    </w:p>
    <w:p>
      <w:pPr>
        <w:pStyle w:val="3"/>
      </w:pPr>
      <w:r>
        <w:rPr>
          <w:rFonts w:hint="eastAsia"/>
        </w:rPr>
        <w:t xml:space="preserve">（2）跨系统数据无法标准互通——5个系统各自定义数据格式和接口标准：通行系统的通行事件JSON</w:t>
      </w:r>
      <w:r>
        <w:t xml:space="preserve"> </w:t>
      </w:r>
      <w:r>
        <w:rPr>
          <w:rFonts w:hint="eastAsia"/>
        </w:rPr>
        <w:t xml:space="preserve">schema与访客系统的访客事件JSON</w:t>
      </w:r>
      <w:r>
        <w:t xml:space="preserve"> </w:t>
      </w:r>
      <w:r>
        <w:rPr>
          <w:rFonts w:hint="eastAsia"/>
        </w:rPr>
        <w:t xml:space="preserve">schema完全不同，会议室系统的设备状态上报格式与空间预约系统的传感器数据格式互不理解。实现跨系统基于异步事件驱动的跨系统状态机同步（如访客审批→门禁权限下发、会议预约→门禁权限联动）时，需两个系统的开发人员逐对沟通接口格式、做定制API对接。随着系统数量增加，对接工作量呈组合增长趋势；</w:t>
      </w:r>
    </w:p>
    <w:p>
      <w:pPr>
        <w:pStyle w:val="3"/>
      </w:pPr>
      <w:r>
        <w:rPr>
          <w:rFonts w:hint="eastAsia"/>
        </w:rPr>
        <w:t xml:space="preserve">（3）新系统开发效率低——每启动一个新的楼宇应用系统，设备接入、协议语义映射、数据交互等基础工作都需要从零开始。公司已规划的后续产品线（如智能节能系统Green、AI感知物联系统VisionCount）面临相同的基础设施重复建设问题。</w:t>
      </w:r>
    </w:p>
    <w:p>
      <w:pPr>
        <w:pStyle w:val="3"/>
      </w:pPr>
      <w:r>
        <w:rPr>
          <w:rFonts w:hint="eastAsia"/>
        </w:rPr>
        <w:t xml:space="preserve">为解决上述问题，公司于2025年8月启动本项目（JQ2025005），从5个应用系统的技术实践中提炼共性需求，研究设计统一的异构协议语义空间映射框架、基于五层解耦架构的分布式数据交互规范和设备接入标准，实现物理层与业务层的完全解耦，为后续产品迭代和新系统开发提供统一的技术基础。</w:t>
      </w:r>
    </w:p>
    <w:p>
      <w:pPr>
        <w:pStyle w:val="3"/>
      </w:pPr>
      <w:r>
        <w:t xml:space="preserve">1.2 </w:t>
      </w:r>
      <w:r>
        <w:rPr>
          <w:rFonts w:hint="eastAsia"/>
        </w:rPr>
        <w:t xml:space="preserve">项目定位</w:t>
      </w:r>
    </w:p>
    <w:p>
      <w:pPr>
        <w:pStyle w:val="3"/>
      </w:pPr>
      <w:r>
        <w:rPr>
          <w:rFonts w:hint="eastAsia"/>
        </w:rPr>
        <w:t xml:space="preserve">本项目不是”先于应用系统的技术底座”（5个应用系统已于2025年7月前全部完成开发，本项目2025年8月才启动立项），而是”从应用实践中提炼共性的技术框架研究”。其研发价值在于：将5个系统中分散实现的、针对特定场景的技术方案，抽象为通用化的技术框架和标准规范——将硬件控制指令抽象为可定义的逻辑资产，实现从纯软件代码到逻辑资产的升维。使后续开发可以基于统一框架进行，避免重复劳动。</w:t>
      </w:r>
    </w:p>
    <w:p>
      <w:pPr>
        <w:pStyle w:val="3"/>
      </w:pPr>
      <w:r>
        <w:rPr>
          <w:rFonts w:hint="eastAsia"/>
        </w:rPr>
        <w:t xml:space="preserve">本项目的性质是技术预研——以技术攻关、方案论证、规范制定为核心成果，无对应应用软件著作权登记需求。验收报告明确表述：</w:t>
      </w:r>
      <w:r>
        <w:rPr>
          <w:rFonts w:hint="eastAsia"/>
        </w:rPr>
        <w:t xml:space="preserve">“本项目为底层技术预研项目，以技术攻关、方案论证、规范制定为核心成果，无对应应用软件著作权登记需求”</w:t>
      </w:r>
      <w:r>
        <w:t xml:space="preserve">。</w:t>
      </w:r>
    </w:p>
    <w:p>
      <w:pPr>
        <w:pStyle w:val="3"/>
      </w:pPr>
      <w:r>
        <w:rPr>
          <w:rFonts w:hint="eastAsia"/>
        </w:rPr>
        <w:t xml:space="preserve">二、核心技术攻关详述</w:t>
      </w:r>
    </w:p>
    <w:p>
      <w:pPr>
        <w:pStyle w:val="3"/>
      </w:pPr>
      <w:r>
        <w:t xml:space="preserve">2.1 </w:t>
      </w:r>
      <w:r>
        <w:rPr>
          <w:rFonts w:hint="eastAsia"/>
        </w:rPr>
        <w:t xml:space="preserve">异构协议语义空间映射与指令解构——基于语义抽象的统一操作语义模型</w:t>
      </w:r>
    </w:p>
    <w:p>
      <w:pPr>
        <w:pStyle w:val="3"/>
      </w:pPr>
      <w:r>
        <w:rPr>
          <w:rFonts w:hint="eastAsia"/>
        </w:rPr>
        <w:t xml:space="preserve">技术难点：7种楼宇设备通信协议的通信模型、寻址方式、数据编码和操作语义存在本质性差异——不是”格式不同”的问题，而是七种协议在底层通信哲学上的根本异构性，无法通过简单的接口封装（Wrapper模式）实现统一接入：</w:t>
      </w:r>
    </w:p>
    <w:tbl>
      <w:tblPr>
        <w:tblStyle w:val="Table"/>
        <w:tblW w:type="pct" w:w="5000"/>
        <w:tblLayout w:type="fixed"/>
        <w:tblLook w:firstRow="1" w:lastRow="0" w:firstColumn="0" w:lastColumn="0" w:noHBand="0" w:noVBand="0" w:val="0020"/>
      </w:tblPr>
      <w:tblGrid>
        <w:gridCol w:w="1131"/>
        <w:gridCol w:w="1697"/>
        <w:gridCol w:w="1697"/>
        <w:gridCol w:w="1697"/>
        <w:gridCol w:w="1697"/>
      </w:tblGrid>
      <w:tr>
        <w:trPr>
          <w:tblHeader w:val="on"/>
        </w:trPr>
        <w:tc>
          <w:tcPr/>
          <w:p>
            <w:pPr>
              <w:pStyle w:val="24"/>
            </w:pPr>
            <w:r>
              <w:rPr>
                <w:rFonts w:hint="eastAsia"/>
              </w:rPr>
              <w:t xml:space="preserve">协议</w:t>
            </w:r>
          </w:p>
        </w:tc>
        <w:tc>
          <w:tcPr/>
          <w:p>
            <w:pPr>
              <w:pStyle w:val="24"/>
            </w:pPr>
            <w:r>
              <w:rPr>
                <w:rFonts w:hint="eastAsia"/>
              </w:rPr>
              <w:t xml:space="preserve">通信模型</w:t>
            </w:r>
          </w:p>
        </w:tc>
        <w:tc>
          <w:tcPr/>
          <w:p>
            <w:pPr>
              <w:pStyle w:val="24"/>
            </w:pPr>
            <w:r>
              <w:rPr>
                <w:rFonts w:hint="eastAsia"/>
              </w:rPr>
              <w:t xml:space="preserve">寻址方式</w:t>
            </w:r>
          </w:p>
        </w:tc>
        <w:tc>
          <w:tcPr/>
          <w:p>
            <w:pPr>
              <w:pStyle w:val="24"/>
            </w:pPr>
            <w:r>
              <w:rPr>
                <w:rFonts w:hint="eastAsia"/>
              </w:rPr>
              <w:t xml:space="preserve">数据编码</w:t>
            </w:r>
          </w:p>
        </w:tc>
        <w:tc>
          <w:tcPr/>
          <w:p>
            <w:pPr>
              <w:pStyle w:val="24"/>
            </w:pPr>
            <w:r>
              <w:rPr>
                <w:rFonts w:hint="eastAsia"/>
              </w:rPr>
              <w:t xml:space="preserve">操作类型</w:t>
            </w:r>
          </w:p>
        </w:tc>
      </w:tr>
      <w:tr>
        <w:tc>
          <w:tcPr/>
          <w:p>
            <w:pPr>
              <w:pStyle w:val="24"/>
            </w:pPr>
            <w:r>
              <w:t xml:space="preserve">MQTT</w:t>
            </w:r>
          </w:p>
        </w:tc>
        <w:tc>
          <w:tcPr/>
          <w:p>
            <w:pPr>
              <w:pStyle w:val="24"/>
            </w:pPr>
            <w:r>
              <w:rPr>
                <w:rFonts w:hint="eastAsia"/>
              </w:rPr>
              <w:t xml:space="preserve">异步发布/订阅（长连接），Broker路由</w:t>
            </w:r>
          </w:p>
        </w:tc>
        <w:tc>
          <w:tcPr/>
          <w:p>
            <w:pPr>
              <w:pStyle w:val="24"/>
            </w:pPr>
            <w:r>
              <w:rPr>
                <w:rFonts w:hint="eastAsia"/>
              </w:rPr>
              <w:t xml:space="preserve">Topic路径（如</w:t>
            </w:r>
            <w:r>
              <w:rPr>
                <w:rStyle w:val="35"/>
              </w:rPr>
              <w:t xml:space="preserve">buildingos/A/face/device1/event</w:t>
            </w:r>
            <w:r>
              <w:rPr>
                <w:rFonts w:hint="eastAsia"/>
              </w:rPr>
              <w:t xml:space="preserve">），支持通配符</w:t>
            </w:r>
            <w:r>
              <w:rPr>
                <w:rStyle w:val="35"/>
              </w:rPr>
              <w:t xml:space="preserve">+</w:t>
            </w:r>
            <w:r>
              <w:rPr>
                <w:rFonts w:hint="eastAsia"/>
              </w:rPr>
              <w:t xml:space="preserve">和</w:t>
            </w:r>
            <w:r>
              <w:rPr>
                <w:rStyle w:val="35"/>
              </w:rPr>
              <w:t xml:space="preserve">#</w:t>
            </w:r>
          </w:p>
        </w:tc>
        <w:tc>
          <w:tcPr/>
          <w:p>
            <w:pPr>
              <w:pStyle w:val="24"/>
            </w:pPr>
            <w:r>
              <w:rPr>
                <w:rFonts w:hint="eastAsia"/>
              </w:rPr>
              <w:t xml:space="preserve">JSON/二进制Payload，支持QoS</w:t>
            </w:r>
            <w:r>
              <w:t xml:space="preserve"> 0/1/2</w:t>
            </w:r>
          </w:p>
        </w:tc>
        <w:tc>
          <w:tcPr/>
          <w:p>
            <w:pPr>
              <w:pStyle w:val="24"/>
            </w:pPr>
            <w:r>
              <w:rPr>
                <w:rFonts w:hint="eastAsia"/>
              </w:rPr>
              <w:t xml:space="preserve">Publish（发布消息）、Subscribe（订阅Topic）</w:t>
            </w:r>
          </w:p>
        </w:tc>
      </w:tr>
      <w:tr>
        <w:tc>
          <w:tcPr/>
          <w:p>
            <w:pPr>
              <w:pStyle w:val="24"/>
            </w:pPr>
            <w:r>
              <w:t xml:space="preserve">HTTP</w:t>
            </w:r>
          </w:p>
        </w:tc>
        <w:tc>
          <w:tcPr/>
          <w:p>
            <w:pPr>
              <w:pStyle w:val="24"/>
            </w:pPr>
            <w:r>
              <w:rPr>
                <w:rFonts w:hint="eastAsia"/>
              </w:rPr>
              <w:t xml:space="preserve">同步请求/响应（短连接），Client→Server</w:t>
            </w:r>
          </w:p>
        </w:tc>
        <w:tc>
          <w:tcPr/>
          <w:p>
            <w:pPr>
              <w:pStyle w:val="24"/>
            </w:pPr>
            <w:r>
              <w:rPr>
                <w:rFonts w:hint="eastAsia"/>
              </w:rPr>
              <w:t xml:space="preserve">URL路径+Query参数</w:t>
            </w:r>
          </w:p>
        </w:tc>
        <w:tc>
          <w:tcPr/>
          <w:p>
            <w:pPr>
              <w:pStyle w:val="24"/>
            </w:pPr>
            <w:r>
              <w:rPr>
                <w:rFonts w:hint="eastAsia"/>
              </w:rPr>
              <w:t xml:space="preserve">JSON/XML/Form，状态码语义</w:t>
            </w:r>
          </w:p>
        </w:tc>
        <w:tc>
          <w:tcPr/>
          <w:p>
            <w:pPr>
              <w:pStyle w:val="24"/>
            </w:pPr>
            <w:r>
              <w:t xml:space="preserve">GET/POST/PUT/DELETE</w:t>
            </w:r>
          </w:p>
        </w:tc>
      </w:tr>
      <w:tr>
        <w:tc>
          <w:tcPr/>
          <w:p>
            <w:pPr>
              <w:pStyle w:val="24"/>
            </w:pPr>
            <w:r>
              <w:t xml:space="preserve">RS485</w:t>
            </w:r>
          </w:p>
        </w:tc>
        <w:tc>
          <w:tcPr/>
          <w:p>
            <w:pPr>
              <w:pStyle w:val="24"/>
            </w:pPr>
            <w:r>
              <w:rPr>
                <w:rFonts w:hint="eastAsia"/>
              </w:rPr>
              <w:t xml:space="preserve">原始串口帧（半双工），主从轮询</w:t>
            </w:r>
          </w:p>
        </w:tc>
        <w:tc>
          <w:tcPr/>
          <w:p>
            <w:pPr>
              <w:pStyle w:val="24"/>
            </w:pPr>
            <w:r>
              <w:rPr>
                <w:rFonts w:hint="eastAsia"/>
              </w:rPr>
              <w:t xml:space="preserve">从站地址（1-247）+寄存器地址（16位）</w:t>
            </w:r>
          </w:p>
        </w:tc>
        <w:tc>
          <w:tcPr/>
          <w:p>
            <w:pPr>
              <w:pStyle w:val="24"/>
            </w:pPr>
            <w:r>
              <w:t xml:space="preserve">Modbus </w:t>
            </w:r>
            <w:r>
              <w:rPr>
                <w:rFonts w:hint="eastAsia"/>
              </w:rPr>
              <w:t xml:space="preserve">RTU帧格式（地址+功能码+数据+CRC16）</w:t>
            </w:r>
          </w:p>
        </w:tc>
        <w:tc>
          <w:tcPr/>
          <w:p>
            <w:pPr>
              <w:pStyle w:val="24"/>
            </w:pPr>
            <w:r>
              <w:rPr>
                <w:rFonts w:hint="eastAsia"/>
              </w:rPr>
              <w:t xml:space="preserve">读保持寄存器（03）、读输入寄存器（04）、写单个寄存器（06）、写多个寄存器（16）</w:t>
            </w:r>
          </w:p>
        </w:tc>
      </w:tr>
      <w:tr>
        <w:tc>
          <w:tcPr/>
          <w:p>
            <w:pPr>
              <w:pStyle w:val="24"/>
            </w:pPr>
            <w:r>
              <w:t xml:space="preserve">BACnet</w:t>
            </w:r>
          </w:p>
        </w:tc>
        <w:tc>
          <w:tcPr/>
          <w:p>
            <w:pPr>
              <w:pStyle w:val="24"/>
            </w:pPr>
            <w:r>
              <w:rPr>
                <w:rFonts w:hint="eastAsia"/>
              </w:rPr>
              <w:t xml:space="preserve">对象属性读写（UDP/IP或MSTP），Who-Is/I-Am设备发现</w:t>
            </w:r>
          </w:p>
        </w:tc>
        <w:tc>
          <w:tcPr/>
          <w:p>
            <w:pPr>
              <w:pStyle w:val="24"/>
            </w:pPr>
            <w:r>
              <w:rPr>
                <w:rFonts w:hint="eastAsia"/>
              </w:rPr>
              <w:t xml:space="preserve">设备实例号+对象类型+对象实例号+属性标识符</w:t>
            </w:r>
          </w:p>
        </w:tc>
        <w:tc>
          <w:tcPr/>
          <w:p>
            <w:pPr>
              <w:pStyle w:val="24"/>
            </w:pPr>
            <w:r>
              <w:t xml:space="preserve">BACnet Property </w:t>
            </w:r>
            <w:r>
              <w:rPr>
                <w:rFonts w:hint="eastAsia"/>
              </w:rPr>
              <w:t xml:space="preserve">Value（支持多种数据类型：Real/Integer/Boolean/Enumerated/String）</w:t>
            </w:r>
          </w:p>
        </w:tc>
        <w:tc>
          <w:tcPr/>
          <w:p>
            <w:pPr>
              <w:pStyle w:val="24"/>
            </w:pPr>
            <w:r>
              <w:rPr>
                <w:rFonts w:hint="eastAsia"/>
              </w:rPr>
              <w:t xml:space="preserve">ReadProperty、WriteProperty、SubscribeCOV（值变化订阅）</w:t>
            </w:r>
          </w:p>
        </w:tc>
      </w:tr>
      <w:tr>
        <w:tc>
          <w:tcPr/>
          <w:p>
            <w:pPr>
              <w:pStyle w:val="24"/>
            </w:pPr>
            <w:r>
              <w:t xml:space="preserve">DALI</w:t>
            </w:r>
          </w:p>
        </w:tc>
        <w:tc>
          <w:tcPr/>
          <w:p>
            <w:pPr>
              <w:pStyle w:val="24"/>
            </w:pPr>
            <w:r>
              <w:rPr>
                <w:rFonts w:hint="eastAsia"/>
              </w:rPr>
              <w:t xml:space="preserve">16位短指令广播/单播寻址</w:t>
            </w:r>
          </w:p>
        </w:tc>
        <w:tc>
          <w:tcPr/>
          <w:p>
            <w:pPr>
              <w:pStyle w:val="24"/>
            </w:pPr>
            <w:r>
              <w:rPr>
                <w:rFonts w:hint="eastAsia"/>
              </w:rPr>
              <w:t xml:space="preserve">短地址（0-63）+组地址（0-15）+广播</w:t>
            </w:r>
          </w:p>
        </w:tc>
        <w:tc>
          <w:tcPr/>
          <w:p>
            <w:pPr>
              <w:pStyle w:val="24"/>
            </w:pPr>
            <w:r>
              <w:rPr>
                <w:rFonts w:hint="eastAsia"/>
              </w:rPr>
              <w:t xml:space="preserve">8位前向帧+8位后向帧（指令+数据）</w:t>
            </w:r>
          </w:p>
        </w:tc>
        <w:tc>
          <w:tcPr/>
          <w:p>
            <w:pPr>
              <w:pStyle w:val="24"/>
            </w:pPr>
            <w:r>
              <w:rPr>
                <w:rFonts w:hint="eastAsia"/>
              </w:rPr>
              <w:t xml:space="preserve">电弧功率级设置、场景调用（0-15）、色温调节、查询状态</w:t>
            </w:r>
          </w:p>
        </w:tc>
      </w:tr>
      <w:tr>
        <w:tc>
          <w:tcPr/>
          <w:p>
            <w:pPr>
              <w:pStyle w:val="24"/>
            </w:pPr>
            <w:r>
              <w:t xml:space="preserve">KNX</w:t>
            </w:r>
          </w:p>
        </w:tc>
        <w:tc>
          <w:tcPr/>
          <w:p>
            <w:pPr>
              <w:pStyle w:val="24"/>
            </w:pPr>
            <w:r>
              <w:rPr>
                <w:rFonts w:hint="eastAsia"/>
              </w:rPr>
              <w:t xml:space="preserve">组地址报文路由（TP1耦合器），事件驱动</w:t>
            </w:r>
          </w:p>
        </w:tc>
        <w:tc>
          <w:tcPr/>
          <w:p>
            <w:pPr>
              <w:pStyle w:val="24"/>
            </w:pPr>
            <w:r>
              <w:rPr>
                <w:rFonts w:hint="eastAsia"/>
              </w:rPr>
              <w:t xml:space="preserve">组地址（两级x/y或三级x/y/z）+物理地址（x.y.z）</w:t>
            </w:r>
          </w:p>
        </w:tc>
        <w:tc>
          <w:tcPr/>
          <w:p>
            <w:pPr>
              <w:pStyle w:val="24"/>
            </w:pPr>
            <w:r>
              <w:rPr>
                <w:rFonts w:hint="eastAsia"/>
              </w:rPr>
              <w:t xml:space="preserve">DPT编码（1</w:t>
            </w:r>
            <w:r>
              <w:t xml:space="preserve"> bit/1 byte/2 bytes/4 </w:t>
            </w:r>
            <w:r>
              <w:rPr>
                <w:rFonts w:hint="eastAsia"/>
              </w:rPr>
              <w:t xml:space="preserve">bytes），DPT类型决定编码格式</w:t>
            </w:r>
          </w:p>
        </w:tc>
        <w:tc>
          <w:tcPr/>
          <w:p>
            <w:pPr>
              <w:pStyle w:val="24"/>
            </w:pPr>
            <w:r>
              <w:rPr>
                <w:rFonts w:hint="eastAsia"/>
              </w:rPr>
              <w:t xml:space="preserve">读值、写值（通过组对象）、场景控制</w:t>
            </w:r>
          </w:p>
        </w:tc>
      </w:tr>
      <w:tr>
        <w:tc>
          <w:tcPr/>
          <w:p>
            <w:pPr>
              <w:pStyle w:val="24"/>
            </w:pPr>
            <w:r>
              <w:t xml:space="preserve">Modbus</w:t>
            </w:r>
          </w:p>
        </w:tc>
        <w:tc>
          <w:tcPr/>
          <w:p>
            <w:pPr>
              <w:pStyle w:val="24"/>
            </w:pPr>
            <w:r>
              <w:rPr>
                <w:rFonts w:hint="eastAsia"/>
              </w:rPr>
              <w:t xml:space="preserve">同步请求/响应（RTU半双工串口或TCP全双工），主从架构</w:t>
            </w:r>
          </w:p>
        </w:tc>
        <w:tc>
          <w:tcPr/>
          <w:p>
            <w:pPr>
              <w:pStyle w:val="24"/>
            </w:pPr>
            <w:r>
              <w:rPr>
                <w:rFonts w:hint="eastAsia"/>
              </w:rPr>
              <w:t xml:space="preserve">从站地址（1-247）+寄存器类型+寄存器地址（16位）</w:t>
            </w:r>
          </w:p>
        </w:tc>
        <w:tc>
          <w:tcPr/>
          <w:p>
            <w:pPr>
              <w:pStyle w:val="24"/>
            </w:pPr>
            <w:r>
              <w:rPr>
                <w:rFonts w:hint="eastAsia"/>
              </w:rPr>
              <w:t xml:space="preserve">功能码+数据域（16位寄存器值，大端字节序）</w:t>
            </w:r>
          </w:p>
        </w:tc>
        <w:tc>
          <w:tcPr/>
          <w:p>
            <w:pPr>
              <w:pStyle w:val="24"/>
            </w:pPr>
            <w:r>
              <w:rPr>
                <w:rFonts w:hint="eastAsia"/>
              </w:rPr>
              <w:t xml:space="preserve">读保持/输入寄存器（03/04）、写单个/多个寄存器（06/16）、读/写线圈（01/05）</w:t>
            </w:r>
          </w:p>
        </w:tc>
      </w:tr>
    </w:tbl>
    <w:p>
      <w:pPr>
        <w:pStyle w:val="3"/>
      </w:pPr>
      <w:r>
        <w:rPr>
          <w:rFonts w:hint="eastAsia"/>
        </w:rPr>
        <w:t xml:space="preserve">这7种协议的通信模型、寻址方式和操作语义存在本质差异，直接导致无法通过”写一个通用接口+为每种协议实现接口”的简单封装模式来实现真正的统一接入。原因如下：</w:t>
      </w:r>
    </w:p>
    <w:p>
      <w:pPr>
        <w:pStyle w:val="24"/>
        <w:numPr>
          <w:ilvl w:val="0"/>
          <w:numId w:val="1001"/>
        </w:numPr>
      </w:pPr>
      <w:r>
        <w:rPr>
          <w:rFonts w:hint="eastAsia"/>
        </w:rPr>
        <w:t xml:space="preserve">MQTT的异步发布/订阅模型与HTTP的同步请求/响应模型在时序逻辑上完全不同——MQTT消息的到达时间不确定（取决于网络和Broker负载），HTTP请求有明确的超时和响应语义。简单的”统一发送指令→等待响应”接口无法同时适配两种模型；</w:t>
      </w:r>
    </w:p>
    <w:p>
      <w:pPr>
        <w:pStyle w:val="24"/>
        <w:numPr>
          <w:ilvl w:val="0"/>
          <w:numId w:val="1001"/>
        </w:numPr>
      </w:pPr>
      <w:r>
        <w:t xml:space="preserve">RS485/Modbus </w:t>
      </w:r>
      <w:r>
        <w:rPr>
          <w:rFonts w:hint="eastAsia"/>
        </w:rPr>
        <w:t xml:space="preserve">RTU的主从轮询机制要求同一总线上的指令必须严格串行（同时只能有一个主站发送指令），而MQTT/HTTP允许多路并发。统一的并发控制策略难以同时适配；</w:t>
      </w:r>
    </w:p>
    <w:p>
      <w:pPr>
        <w:pStyle w:val="24"/>
        <w:numPr>
          <w:ilvl w:val="0"/>
          <w:numId w:val="1001"/>
        </w:numPr>
      </w:pPr>
      <w:r>
        <w:rPr>
          <w:rFonts w:hint="eastAsia"/>
        </w:rPr>
        <w:t xml:space="preserve">BACnet的对象属性读写语义（ReadProperty/WriteProperty，操作的是对象的属性值）与Modbus的寄存器读写语义（操作的是寄存器地址的16位值，需要知道功能码、寄存器类型）在逻辑层面就不等价——无法简单地用同一套”读/写”操作语义覆盖两种协议的全部操作；</w:t>
      </w:r>
    </w:p>
    <w:p>
      <w:pPr>
        <w:pStyle w:val="24"/>
        <w:numPr>
          <w:ilvl w:val="0"/>
          <w:numId w:val="1001"/>
        </w:numPr>
      </w:pPr>
      <w:r>
        <w:rPr>
          <w:rFonts w:hint="eastAsia"/>
        </w:rPr>
        <w:t xml:space="preserve">DALI的广播寻址（发送一条广播指令控制同一组地址的所有灯具）和KNX的组地址报文路由（组地址关联多个设备的组对象）在寻址机制上完全不同——DALI用16位短指令中的地址位，KNX用独立的组地址报文头部。</w:t>
      </w:r>
    </w:p>
    <w:p>
      <w:pPr>
        <w:pStyle w:val="23"/>
      </w:pPr>
      <w:r>
        <w:rPr>
          <w:rFonts w:hint="eastAsia"/>
        </w:rPr>
        <w:t xml:space="preserve">因此，本研究需要设计的不是简单的”统一接口封装（Wrapper）“，而是一个能够将7种协议截然不同的物理寻址方式（Modbus的寄存器地址</w:t>
      </w:r>
      <w:r>
        <w:t xml:space="preserve"> vs </w:t>
      </w:r>
      <w:r>
        <w:rPr>
          <w:rFonts w:hint="eastAsia"/>
        </w:rPr>
        <w:t xml:space="preserve">KNX的组地址</w:t>
      </w:r>
      <w:r>
        <w:t xml:space="preserve"> vs </w:t>
      </w:r>
      <w:r>
        <w:rPr>
          <w:rFonts w:hint="eastAsia"/>
        </w:rPr>
        <w:t xml:space="preserve">BACnet的对象标识符）解析为标准逻辑语义的指令语义对齐引擎。</w:t>
      </w:r>
    </w:p>
    <w:p>
      <w:pPr>
        <w:pStyle w:val="3"/>
      </w:pPr>
      <w:r>
        <w:rPr>
          <w:rFonts w:hint="eastAsia"/>
        </w:rPr>
        <w:t xml:space="preserve">技术路线：本项目最核心的技术突破——构建了”异构协议语义空间映射与指令解构”模型（Protocol-Independent</w:t>
      </w:r>
      <w:r>
        <w:t xml:space="preserve"> Semantic Mapping &amp; Command Deconstruction </w:t>
      </w:r>
      <w:r>
        <w:rPr>
          <w:rFonts w:hint="eastAsia"/>
        </w:rPr>
        <w:t xml:space="preserve">Model），将硬件控制指令抽象为可定义的逻辑资产。该模型由三个核心要素构成：</w:t>
      </w:r>
    </w:p>
    <w:p>
      <w:pPr>
        <w:pStyle w:val="3"/>
      </w:pPr>
      <w:r>
        <w:rPr>
          <w:rFonts w:hint="eastAsia"/>
        </w:rPr>
        <w:t xml:space="preserve">（1）统一寻址（Unified</w:t>
      </w:r>
      <w:r>
        <w:t xml:space="preserve"> </w:t>
      </w:r>
      <w:r>
        <w:rPr>
          <w:rFonts w:hint="eastAsia"/>
        </w:rPr>
        <w:t xml:space="preserve">Addressing）——语义空间映射：将7种协议完全不同的设备定位方式——MQTT</w:t>
      </w:r>
      <w:r>
        <w:t xml:space="preserve"> </w:t>
      </w:r>
      <w:r>
        <w:rPr>
          <w:rFonts w:hint="eastAsia"/>
        </w:rPr>
        <w:t xml:space="preserve">Topic路径（</w:t>
      </w:r>
      <w:r>
        <w:rPr>
          <w:rStyle w:val="35"/>
        </w:rPr>
        <w:t xml:space="preserve">buildingos/A/face/device1</w:t>
      </w:r>
      <w:r>
        <w:rPr>
          <w:rFonts w:hint="eastAsia"/>
        </w:rPr>
        <w:t xml:space="preserve">）、HTTP</w:t>
      </w:r>
      <w:r>
        <w:t xml:space="preserve"> </w:t>
      </w:r>
      <w:r>
        <w:rPr>
          <w:rFonts w:hint="eastAsia"/>
        </w:rPr>
        <w:t xml:space="preserve">URL（</w:t>
      </w:r>
      <w:r>
        <w:rPr>
          <w:rStyle w:val="35"/>
        </w:rPr>
        <w:t xml:space="preserve">http://192.168.1.100:8080/api/device/1</w:t>
      </w:r>
      <w:r>
        <w:rPr>
          <w:rFonts w:hint="eastAsia"/>
        </w:rPr>
        <w:t xml:space="preserve">）、RS485从站地址+寄存器地址（</w:t>
      </w:r>
      <w:r>
        <w:rPr>
          <w:rStyle w:val="35"/>
        </w:rPr>
        <w:t xml:space="preserve">SlaveID=5, RegAddr=40001</w:t>
      </w:r>
      <w:r>
        <w:rPr>
          <w:rFonts w:hint="eastAsia"/>
        </w:rPr>
        <w:t xml:space="preserve">）、BACnet对象标识（</w:t>
      </w:r>
      <w:r>
        <w:rPr>
          <w:rStyle w:val="35"/>
        </w:rPr>
        <w:t xml:space="preserve">Device:12345/AnalogOutput:1/PresentValue</w:t>
      </w:r>
      <w:r>
        <w:rPr>
          <w:rFonts w:hint="eastAsia"/>
        </w:rPr>
        <w:t xml:space="preserve">）、DALI短地址/组地址（</w:t>
      </w:r>
      <w:r>
        <w:rPr>
          <w:rStyle w:val="35"/>
        </w:rPr>
        <w:t xml:space="preserve">ShortAddr=12, GroupAddr=3</w:t>
      </w:r>
      <w:r>
        <w:rPr>
          <w:rFonts w:hint="eastAsia"/>
        </w:rPr>
        <w:t xml:space="preserve">）、KNX组地址（</w:t>
      </w:r>
      <w:r>
        <w:rPr>
          <w:rStyle w:val="35"/>
        </w:rPr>
        <w:t xml:space="preserve">1/2/3</w:t>
      </w:r>
      <w:r>
        <w:rPr>
          <w:rFonts w:hint="eastAsia"/>
        </w:rPr>
        <w:t xml:space="preserve">）、Modbus从站+寄存器（</w:t>
      </w:r>
      <w:r>
        <w:rPr>
          <w:rStyle w:val="35"/>
        </w:rPr>
        <w:t xml:space="preserve">UnitID=1, HoldingReg=40001</w:t>
      </w:r>
      <w:r>
        <w:rPr>
          <w:rFonts w:hint="eastAsia"/>
        </w:rPr>
        <w:t xml:space="preserve">）——映射为统一的资源标识符（URI格式：</w:t>
      </w:r>
      <w:r>
        <w:rPr>
          <w:rStyle w:val="35"/>
        </w:rPr>
        <w:t xml:space="preserve">protocol://gateway/device/resource</w:t>
      </w:r>
      <w:r>
        <w:rPr>
          <w:rFonts w:hint="eastAsia"/>
        </w:rPr>
        <w:t xml:space="preserve">）。统一标识符的设计在可读性、唯一性和可扩展性之间经过多轮迭代权衡——初期方案采用纯数字ID（可读性差、调试困难），后改为分层路径命名（兼顾机器解析和人工可读）；</w:t>
      </w:r>
    </w:p>
    <w:p>
      <w:pPr>
        <w:pStyle w:val="3"/>
      </w:pPr>
      <w:r>
        <w:rPr>
          <w:rFonts w:hint="eastAsia"/>
        </w:rPr>
        <w:t xml:space="preserve">（2）统一编解码（Unified</w:t>
      </w:r>
      <w:r>
        <w:t xml:space="preserve"> </w:t>
      </w:r>
      <w:r>
        <w:rPr>
          <w:rFonts w:hint="eastAsia"/>
        </w:rPr>
        <w:t xml:space="preserve">Codec）——指令解构：将7种协议完全不同的数据编码格式——JSON（MQTT/HTTP</w:t>
      </w:r>
      <w:r>
        <w:t xml:space="preserve"> </w:t>
      </w:r>
      <w:r>
        <w:rPr>
          <w:rFonts w:hint="eastAsia"/>
        </w:rPr>
        <w:t xml:space="preserve">Payload）、Modbus</w:t>
      </w:r>
      <w:r>
        <w:t xml:space="preserve"> </w:t>
      </w:r>
      <w:r>
        <w:rPr>
          <w:rFonts w:hint="eastAsia"/>
        </w:rPr>
        <w:t xml:space="preserve">RTU帧（地址+功能码+数据+CRC16）、BACnet</w:t>
      </w:r>
      <w:r>
        <w:t xml:space="preserve"> Property </w:t>
      </w:r>
      <w:r>
        <w:rPr>
          <w:rFonts w:hint="eastAsia"/>
        </w:rPr>
        <w:t xml:space="preserve">Value（数据类型标识+值）、DALI</w:t>
      </w:r>
      <w:r>
        <w:t xml:space="preserve"> </w:t>
      </w:r>
      <w:r>
        <w:rPr>
          <w:rFonts w:hint="eastAsia"/>
        </w:rPr>
        <w:t xml:space="preserve">8位帧（地址位+指令位+数据位）、KNX</w:t>
      </w:r>
      <w:r>
        <w:t xml:space="preserve"> </w:t>
      </w:r>
      <w:r>
        <w:rPr>
          <w:rFonts w:hint="eastAsia"/>
        </w:rPr>
        <w:t xml:space="preserve">DPT编码（按DPT类型编码为1/2/4字节）——抽象为统一的编解码接口。编解码接口支持：①将协议原始数据解析为统一数据模型的标准字段（属性值/事件类型/时间戳）；②将统一指令模型的标准操作语义编码为协议的原始指令帧。编解码过程中处理字节序转换（大端/小端）、单位换算（ppm/ppb/μg/m³）、数据类型映射（IEEE</w:t>
      </w:r>
      <w:r>
        <w:t xml:space="preserve"> </w:t>
      </w:r>
      <w:r>
        <w:rPr>
          <w:rFonts w:hint="eastAsia"/>
        </w:rPr>
        <w:t xml:space="preserve">754浮点↔16位整型↔DPT缩放编码）；</w:t>
      </w:r>
    </w:p>
    <w:p>
      <w:pPr>
        <w:pStyle w:val="3"/>
      </w:pPr>
      <w:r>
        <w:rPr>
          <w:rFonts w:hint="eastAsia"/>
        </w:rPr>
        <w:t xml:space="preserve">（3）统一操作语义（Unified</w:t>
      </w:r>
      <w:r>
        <w:t xml:space="preserve"> Operation </w:t>
      </w:r>
      <w:r>
        <w:rPr>
          <w:rFonts w:hint="eastAsia"/>
        </w:rPr>
        <w:t xml:space="preserve">Semantics）——逻辑控制解耦：这是本模型区别于简单封装的本质所在。将7种协议完全不同的操作类型——MQTT的Publish/Subscribe、HTTP的GET/POST/PUT/DELETE、Modbus的读寄存器/写寄存器/读线圈、BACnet的ReadProperty/WriteProperty/SubscribeCOV、DALI的弧光设置/场景调用/查询状态、KNX的组对象读写——映射为统一的五类逻辑语义（READ/WRITE/SUBSCRIBE/EXECUTE/DISCOVER）。每种逻辑语义在各协议中的物理实现完全不同——同一个READ操作，在Modbus中映射为功能码03/04+寄存器地址、在BACnet中映射为ReadProperty+对象标识符、在KNX中映射为GroupValueRead+组地址——但这些物理差异对上层业务完全透明。上层应用仅需调用</w:t>
      </w:r>
      <w:r>
        <w:rPr>
          <w:rStyle w:val="35"/>
        </w:rPr>
        <w:t xml:space="preserve">READ(device, property)</w:t>
      </w:r>
      <w:r>
        <w:rPr>
          <w:rFonts w:hint="eastAsia"/>
        </w:rPr>
        <w:t xml:space="preserve">逻辑语义，语义映射引擎自动选择正确的协议指令编码和通信通道，实现”物理层与业务层完全解耦的语义抽象模型设计”。</w:t>
      </w:r>
    </w:p>
    <w:p>
      <w:pPr>
        <w:pStyle w:val="3"/>
      </w:pPr>
      <w:r>
        <w:rPr>
          <w:rFonts w:hint="eastAsia"/>
        </w:rPr>
        <w:t xml:space="preserve">攻关过程——从”过度抽象”到”核心统一+扩展适配”的架构推翻重构：从5个系统中抽象通用模式的过程并非简单的代码提取。各系统的协议语义映射实现深度耦合了业务逻辑——通行系统的MQTT消息处理中嵌入了权限下发和通行日志记录逻辑，会议室系统的BACnet对象操作中嵌入了场景联动和设备状态映射——需要逐层剥离业务逻辑，仅保留纯粹的协议解析、数据映射和指令收发。</w:t>
      </w:r>
    </w:p>
    <w:p>
      <w:pPr>
        <w:pStyle w:val="3"/>
      </w:pPr>
      <w:r>
        <w:rPr>
          <w:rFonts w:hint="eastAsia"/>
        </w:rPr>
        <w:t xml:space="preserve">本研究最重大的技术挫折——也是证明研发属性的核心论据——发生在统一指令模型的抽象粒度设计阶段：</w:t>
      </w:r>
    </w:p>
    <w:p>
      <w:pPr>
        <w:pStyle w:val="3"/>
      </w:pPr>
      <w:r>
        <w:rPr>
          <w:rFonts w:hint="eastAsia"/>
        </w:rPr>
        <w:t xml:space="preserve">初期的技术架构设计曾试图将所有7种协议映射为完全相同的控制流（Control</w:t>
      </w:r>
      <w:r>
        <w:t xml:space="preserve"> </w:t>
      </w:r>
      <w:r>
        <w:rPr>
          <w:rFonts w:hint="eastAsia"/>
        </w:rPr>
        <w:t xml:space="preserve">Flow）——定义一套”万能”的操作语义覆盖所有协议的全部操作。但在实际验证中很快发现这一”过度抽象”的方向存在根本性问题：BACnet的SubscribeCOV（值变化订阅）是一种服务端主动推送机制——设备端检测到属性值变化后，无需客户端轮询即主动发送变化通知——这种”推”模式与HTTP的”拉”模式（客户端周期性GET查询）在控制流上完全不同步。将SubscribeCOV强行映射为统一操作语义的SUBSCRIBE操作时，丢失了BACnet</w:t>
      </w:r>
      <w:r>
        <w:t xml:space="preserve"> </w:t>
      </w:r>
      <w:r>
        <w:rPr>
          <w:rFonts w:hint="eastAsia"/>
        </w:rPr>
        <w:t xml:space="preserve">COV的增量上报优化语义（COV可配置上报阈值、抑制微小变化，减少网络流量）。类似地，KNX的组对象路由机制（一个组地址关联多个物理设备的多个组对象，写一个组地址即可同时控制多个设备）在强行映射为统一WRITE操作时，丢失了KNX组地址的”一对多”广播能力——如果上层业务将组地址当作单设备地址使用，每次WRITE只更新一个设备，则完全丧失了KNX组地址机制的设计优势。</w:t>
      </w:r>
    </w:p>
    <w:p>
      <w:pPr>
        <w:pStyle w:val="3"/>
      </w:pPr>
      <w:r>
        <w:rPr>
          <w:rFonts w:hint="eastAsia"/>
        </w:rPr>
        <w:t xml:space="preserve">这一发现揭示了一个深刻的技术矛盾：</w:t>
      </w:r>
      <w:r>
        <w:rPr>
          <w:rFonts w:hint="eastAsia"/>
          <w:b/>
          <w:bCs/>
        </w:rPr>
        <w:t xml:space="preserve">抽象度的提升必然伴随协议特有能力的语义损失</w:t>
      </w:r>
      <w:r>
        <w:rPr>
          <w:rFonts w:hint="eastAsia"/>
        </w:rPr>
        <w:t xml:space="preserve">——抽象度越高、模型越通用，但协议的高阶特性（BACnet</w:t>
      </w:r>
      <w:r>
        <w:t xml:space="preserve"> </w:t>
      </w:r>
      <w:r>
        <w:rPr>
          <w:rFonts w:hint="eastAsia"/>
        </w:rPr>
        <w:t xml:space="preserve">COV增量上报、KNX组地址一对多广播、DALI场景一键调用16种预设）越难以被有效表达和调用。</w:t>
      </w:r>
    </w:p>
    <w:p>
      <w:pPr>
        <w:pStyle w:val="3"/>
      </w:pPr>
      <w:r>
        <w:rPr>
          <w:rFonts w:hint="eastAsia"/>
        </w:rPr>
        <w:t xml:space="preserve">为攻克这一难题，团队放弃了”万能统一模型”的方向，重构了一套”核心统一+扩展适配”的语义抽象模型：</w:t>
      </w:r>
    </w:p>
    <w:p>
      <w:pPr>
        <w:pStyle w:val="24"/>
        <w:numPr>
          <w:ilvl w:val="0"/>
          <w:numId w:val="1002"/>
        </w:numPr>
      </w:pPr>
      <w:r>
        <w:rPr>
          <w:rFonts w:hint="eastAsia"/>
        </w:rPr>
        <w:t xml:space="preserve">核心统一层（Core</w:t>
      </w:r>
      <w:r>
        <w:t xml:space="preserve"> Unified </w:t>
      </w:r>
      <w:r>
        <w:rPr>
          <w:rFonts w:hint="eastAsia"/>
        </w:rPr>
        <w:t xml:space="preserve">Layer）：五类统一逻辑语义（READ/WRITE/SUBSCRIBE/EXECUTE/DISCOVER）覆盖所有协议的通用操作模式，提供统一的寻址、编解码和操作接口。这是”物理层与业务层完全解耦”的关键——上层业务仅与核心统一层交互，无需感知底层协议差异；</w:t>
      </w:r>
    </w:p>
    <w:p>
      <w:pPr>
        <w:pStyle w:val="24"/>
        <w:numPr>
          <w:ilvl w:val="0"/>
          <w:numId w:val="1002"/>
        </w:numPr>
      </w:pPr>
      <w:r>
        <w:rPr>
          <w:rFonts w:hint="eastAsia"/>
        </w:rPr>
        <w:t xml:space="preserve">扩展适配层（Extension</w:t>
      </w:r>
      <w:r>
        <w:t xml:space="preserve"> Adaptation </w:t>
      </w:r>
      <w:r>
        <w:rPr>
          <w:rFonts w:hint="eastAsia"/>
        </w:rPr>
        <w:t xml:space="preserve">Layer）：协议特有的高阶操作（BACnet</w:t>
      </w:r>
      <w:r>
        <w:t xml:space="preserve"> </w:t>
      </w:r>
      <w:r>
        <w:rPr>
          <w:rFonts w:hint="eastAsia"/>
        </w:rPr>
        <w:t xml:space="preserve">SubscribeCOV的增量上报阈值配置、KNX组地址的一对多广播、DALI场景的16预置位调用）通过扩展语义+协议专属参数（Protocol-Specific</w:t>
      </w:r>
      <w:r>
        <w:t xml:space="preserve"> </w:t>
      </w:r>
      <w:r>
        <w:rPr>
          <w:rFonts w:hint="eastAsia"/>
        </w:rPr>
        <w:t xml:space="preserve">Parameters）承载。扩展参数以键值对形式附加在标准操作语义上——</w:t>
      </w:r>
      <w:r>
        <w:rPr>
          <w:rStyle w:val="35"/>
        </w:rPr>
        <w:t xml:space="preserve">SUBSCRIBE(device, property, {covIncrement: 0.5})</w:t>
      </w:r>
      <w:r>
        <w:rPr>
          <w:rFonts w:hint="eastAsia"/>
        </w:rPr>
        <w:t xml:space="preserve">——支持该协议的驱动解析扩展参数并执行协议特有逻辑，不支持该协议的业务层直接忽略扩展参数、仅使用标准语义。这一设计在”通用性”与”协议特有能力调用”之间取得了工程上的最优平衡。</w:t>
      </w:r>
    </w:p>
    <w:p>
      <w:pPr>
        <w:pStyle w:val="23"/>
      </w:pPr>
      <w:r>
        <w:rPr>
          <w:rFonts w:hint="eastAsia"/>
        </w:rPr>
        <w:t xml:space="preserve">在攻关过程中，团队经历了对7种协议多轮底层的二进制协议抓包与重构验证——使用Wireshark/串口监听工具逐一捕获每种协议在实际设备通信中的原始帧数据，分析帧结构、确认字节序、验证校验和算法、测试异常帧的响应行为。处理了数十种边界异常状态——设备响应超时（协议规定超时但实际响应时间随设备负载波动）、帧校验失败（电磁干扰导致CRC错误）、从站地址冲突（两个设备配置了相同的Modbus从站地址）、组地址配置错误（KNX</w:t>
      </w:r>
      <w:r>
        <w:t xml:space="preserve"> </w:t>
      </w:r>
      <w:r>
        <w:rPr>
          <w:rFonts w:hint="eastAsia"/>
        </w:rPr>
        <w:t xml:space="preserve">ETS导出配置与实际设备组对象不一致）、固件版本差异（同一型号设备的不同固件版本对同一指令的响应格式不同）。</w:t>
      </w:r>
    </w:p>
    <w:p>
      <w:pPr>
        <w:pStyle w:val="3"/>
      </w:pPr>
      <w:r>
        <w:rPr>
          <w:rFonts w:hint="eastAsia"/>
        </w:rPr>
        <w:t xml:space="preserve">统一指令模型的五类逻辑语义划分经过了7种协议的全量操作覆盖验证——逐一验证每种协议的每一种操作能否被五类语义覆盖、无法覆盖的特有操作有多少、扩展机制是否能合理承载。验证过程本身就是一个反复试错的过程——每发现一种协议的特有操作无法被当前语义覆盖（如DALI的”查询镇流器状态”操作既不是READ属性值、也不是SUBSCRIBE事件，而是一种设备诊断操作），就需要重新审视语义划分的合理性并调整语义定义。</w:t>
      </w:r>
    </w:p>
    <w:p>
      <w:pPr>
        <w:pStyle w:val="3"/>
      </w:pPr>
      <w:r>
        <w:rPr>
          <w:rFonts w:hint="eastAsia"/>
        </w:rPr>
        <w:t xml:space="preserve">这种对”异构协议语义映射抽象度”的反复试错与逻辑推演——从”万能统一模型”的过度抽象→发现BACnet/KNX/DALI高阶特性丢失→重构为”核心统一+扩展适配”双层次模型→7种协议全量操作覆盖验证→数十种边界异常状态处理——是本项目研发属性的核心所在。此次推翻重构的研发投入约占项目总工作量的40%。</w:t>
      </w:r>
    </w:p>
    <w:p>
      <w:pPr>
        <w:pStyle w:val="3"/>
      </w:pPr>
      <w:r>
        <w:rPr>
          <w:rFonts w:hint="eastAsia"/>
        </w:rPr>
        <w:t xml:space="preserve">技术效果：异构协议语义空间映射与指令解构模型已覆盖7种协议的READ/WRITE/SUBSCRIBE/EXECUTE/DISCOVER五大类逻辑语义。新增一种协议（如OPC</w:t>
      </w:r>
      <w:r>
        <w:t xml:space="preserve"> </w:t>
      </w:r>
      <w:r>
        <w:rPr>
          <w:rFonts w:hint="eastAsia"/>
        </w:rPr>
        <w:t xml:space="preserve">UA）可在不修改核心统一模型的情况下通过扩展机制接入——只需验证其操作语义能否被现有五类覆盖（或少量扩展），开发对应驱动插件即可。通过语义对齐模型的研发，协议语义映射与解构周期缩短80%，在兼容性高并发压力仿真试验中实现了对7大类、100种品牌设备的统一接入。</w:t>
      </w:r>
    </w:p>
    <w:p>
      <w:pPr>
        <w:pStyle w:val="3"/>
      </w:pPr>
      <w:r>
        <w:t xml:space="preserve">2.2 </w:t>
      </w:r>
      <w:r>
        <w:rPr>
          <w:rFonts w:hint="eastAsia"/>
        </w:rPr>
        <w:t xml:space="preserve">基于五层解耦架构的分布式数据交互规范与事件总线机制</w:t>
      </w:r>
    </w:p>
    <w:p>
      <w:pPr>
        <w:pStyle w:val="3"/>
      </w:pPr>
      <w:r>
        <w:rPr>
          <w:rFonts w:hint="eastAsia"/>
        </w:rPr>
        <w:t xml:space="preserve">技术难点：5个系统各自定义数据格式和接口标准，跨系统基于异步事件驱动的跨系统状态机同步需逐对定制API对接。本研究需设计统一的数据交互规范——定义跨系统数据交换的标准字段、事件类型、载荷结构和订阅路由规则，使跨系统数据互通从”逐对定制”变为”标准互通”，避免大规模IoT场景下系统间联动导致的”逻辑冲突”与”指令风暴”。</w:t>
      </w:r>
    </w:p>
    <w:p>
      <w:pPr>
        <w:pStyle w:val="3"/>
      </w:pPr>
      <w:r>
        <w:rPr>
          <w:rFonts w:hint="eastAsia"/>
        </w:rPr>
        <w:t xml:space="preserve">技术路线：设计了”核心字段统一+扩展字段自定义”的双层数据交互规范和基于事件总线的松耦合互通机制——</w:t>
      </w:r>
    </w:p>
    <w:p>
      <w:pPr>
        <w:pStyle w:val="3"/>
      </w:pPr>
      <w:r>
        <w:rPr>
          <w:rFonts w:hint="eastAsia"/>
        </w:rPr>
        <w:t xml:space="preserve">核心字段（Core</w:t>
      </w:r>
      <w:r>
        <w:t xml:space="preserve"> </w:t>
      </w:r>
      <w:r>
        <w:rPr>
          <w:rFonts w:hint="eastAsia"/>
        </w:rPr>
        <w:t xml:space="preserve">Schema）：定义所有系统必须遵循的基础字段——deviceId（统一设备标识）、timestamp（ISO</w:t>
      </w:r>
      <w:r>
        <w:t xml:space="preserve"> 8601 </w:t>
      </w:r>
      <w:r>
        <w:rPr>
          <w:rFonts w:hint="eastAsia"/>
        </w:rPr>
        <w:t xml:space="preserve">UTC时间戳）、eventType（事件类型枚举）、spaceCode（空间语义路由标识）、source（数据来源系统）。核心字段确保跨系统数据的基本可识别性和可路由性；</w:t>
      </w:r>
    </w:p>
    <w:p>
      <w:pPr>
        <w:pStyle w:val="3"/>
      </w:pPr>
      <w:r>
        <w:rPr>
          <w:rFonts w:hint="eastAsia"/>
        </w:rPr>
        <w:t xml:space="preserve">扩展字段（Extension</w:t>
      </w:r>
      <w:r>
        <w:t xml:space="preserve"> </w:t>
      </w:r>
      <w:r>
        <w:rPr>
          <w:rFonts w:hint="eastAsia"/>
        </w:rPr>
        <w:t xml:space="preserve">Schema）：各系统可根据场景需要自定义扩展字段，但字段定义需在数据交互规范中注册——包含字段名、数据类型、取值范围、语义说明。其他系统可通过注册表查询任意系统发布的扩展字段定义，实现对扩展字段的正确解析。注册表作为基于五层解耦架构的分布式数据交互规范的组成部分维护；</w:t>
      </w:r>
    </w:p>
    <w:p>
      <w:pPr>
        <w:pStyle w:val="3"/>
      </w:pPr>
      <w:r>
        <w:rPr>
          <w:rFonts w:hint="eastAsia"/>
        </w:rPr>
        <w:t xml:space="preserve">事件总线（Event</w:t>
      </w:r>
      <w:r>
        <w:t xml:space="preserve"> </w:t>
      </w:r>
      <w:r>
        <w:rPr>
          <w:rFonts w:hint="eastAsia"/>
        </w:rPr>
        <w:t xml:space="preserve">Bus）：替代逐对API调用的松耦合跨系统基于异步事件驱动的跨系统状态机同步机制——各系统作为事件的生产者（发布本系统的数据变更事件）和消费者（订阅其他系统的事件）。事件总线基于MQTT</w:t>
      </w:r>
      <w:r>
        <w:t xml:space="preserve"> </w:t>
      </w:r>
      <w:r>
        <w:rPr>
          <w:rFonts w:hint="eastAsia"/>
        </w:rPr>
        <w:t xml:space="preserve">Broker实现——每个系统向约定的Topic发布事件，订阅系统通过Topic通配符接收感兴趣的跨系统事件。事件总线机制的核心优势：新增一个消费方（如新系统需要订阅访客审批事件）无需修改生产方（访客系统）的任何代码，只需在事件总线配置中增加订阅路由规则即可——实现了真正的松耦合互通。这是本架构区别于传统逐对API定制模式的关键创新。</w:t>
      </w:r>
    </w:p>
    <w:p>
      <w:pPr>
        <w:pStyle w:val="3"/>
      </w:pPr>
      <w:r>
        <w:rPr>
          <w:rFonts w:hint="eastAsia"/>
        </w:rPr>
        <w:t xml:space="preserve">攻关过程与效果：[按实际情况填写]</w:t>
      </w:r>
    </w:p>
    <w:p>
      <w:pPr>
        <w:pStyle w:val="3"/>
      </w:pPr>
      <w:r>
        <w:t xml:space="preserve">2.3 </w:t>
      </w:r>
      <w:r>
        <w:rPr>
          <w:rFonts w:hint="eastAsia"/>
        </w:rPr>
        <w:t xml:space="preserve">统一设备接入全生命周期标准研究</w:t>
      </w:r>
    </w:p>
    <w:p>
      <w:pPr>
        <w:pStyle w:val="3"/>
      </w:pPr>
      <w:r>
        <w:rPr>
          <w:rFonts w:hint="eastAsia"/>
        </w:rPr>
        <w:t xml:space="preserve">技术难点：5个系统中，设备的注册、认证、数据上报、指令下发、固件升级的流程各不相同。需研究设计统一的设备接入标准，使新增设备无需在每个系统中分别开发接入逻辑——将设备接入流程从”各系统独立定义”统一为”基于五层解耦架构的标准化流程”。</w:t>
      </w:r>
    </w:p>
    <w:p>
      <w:pPr>
        <w:pStyle w:val="3"/>
      </w:pPr>
      <w:r>
        <w:rPr>
          <w:rFonts w:hint="eastAsia"/>
        </w:rPr>
        <w:t xml:space="preserve">技术路线：定义了设备接入的统一全生命周期流程——</w:t>
      </w:r>
    </w:p>
    <w:p>
      <w:pPr>
        <w:pStyle w:val="3"/>
      </w:pPr>
      <w:r>
        <w:rPr>
          <w:rFonts w:hint="eastAsia"/>
        </w:rPr>
        <w:t xml:space="preserve">设备注册：新设备上电后向平台发送注册请求（含设备类型、型号、序列号、通信方式），平台验证设备身份（基于预置的设备证书或PSK）后分配统一的设备ID并返回接入配置（MQTT</w:t>
      </w:r>
      <w:r>
        <w:t xml:space="preserve"> </w:t>
      </w:r>
      <w:r>
        <w:rPr>
          <w:rFonts w:hint="eastAsia"/>
        </w:rPr>
        <w:t xml:space="preserve">Broker地址/Topic/心跳间隔）；</w:t>
      </w:r>
    </w:p>
    <w:p>
      <w:pPr>
        <w:pStyle w:val="3"/>
      </w:pPr>
      <w:r>
        <w:rPr>
          <w:rFonts w:hint="eastAsia"/>
        </w:rPr>
        <w:t xml:space="preserve">身份认证：设备后续所有通信携带签发的Token或基于证书的mTLS双向认证；</w:t>
      </w:r>
    </w:p>
    <w:p>
      <w:pPr>
        <w:pStyle w:val="3"/>
      </w:pPr>
      <w:r>
        <w:rPr>
          <w:rFonts w:hint="eastAsia"/>
        </w:rPr>
        <w:t xml:space="preserve">数据上报：定义了统一的数据上报格式（核心字段+设备属性值）和上报策略（周期性上报间隔/事件驱动即时上报/批量上报）；</w:t>
      </w:r>
    </w:p>
    <w:p>
      <w:pPr>
        <w:pStyle w:val="3"/>
      </w:pPr>
      <w:r>
        <w:rPr>
          <w:rFonts w:hint="eastAsia"/>
        </w:rPr>
        <w:t xml:space="preserve">指令下发：定义了统一的指令格式（目标设备ID+操作类型+参数+请求ID），支持同步（等待设备执行确认）和异步（发出后不等待）两种下发模式；</w:t>
      </w:r>
    </w:p>
    <w:p>
      <w:pPr>
        <w:pStyle w:val="3"/>
      </w:pPr>
      <w:r>
        <w:rPr>
          <w:rFonts w:hint="eastAsia"/>
        </w:rPr>
        <w:t xml:space="preserve">OTA升级：定义了统一的固件升级流程（固件包上传→设备分组→灰度策略→升级指令下发→设备下载固件→校验→切换→上报结果）。</w:t>
      </w:r>
    </w:p>
    <w:p>
      <w:pPr>
        <w:pStyle w:val="3"/>
      </w:pPr>
      <w:r>
        <w:rPr>
          <w:rFonts w:hint="eastAsia"/>
        </w:rPr>
        <w:t xml:space="preserve">攻关过程与效果：[按实际情况填写]</w:t>
      </w:r>
    </w:p>
    <w:p>
      <w:pPr>
        <w:pStyle w:val="3"/>
      </w:pPr>
      <w:r>
        <w:t xml:space="preserve">2.4 </w:t>
      </w:r>
      <w:r>
        <w:rPr>
          <w:rFonts w:hint="eastAsia"/>
        </w:rPr>
        <w:t xml:space="preserve">事件驱动的五层分布式解耦架构设计</w:t>
      </w:r>
    </w:p>
    <w:p>
      <w:pPr>
        <w:pStyle w:val="3"/>
      </w:pPr>
      <w:r>
        <w:rPr>
          <w:rFonts w:hint="eastAsia"/>
        </w:rPr>
        <w:t xml:space="preserve">技术难点：5个系统当前采用各系统独立部署的架构——每个系统是一套完整的微服务集群（含自身的后端服务、数据库Schema、消息队列Topic），新增一个系统需重新搭建全套基础设施，形成”烟囱式”基础设施重复建设。本研究需设计分层解耦的分布式架构，使多个业务系统可共享底层的设备接入、协议解析和数据处理能力，实现物理层与业务层的完全解耦。</w:t>
      </w:r>
    </w:p>
    <w:p>
      <w:pPr>
        <w:pStyle w:val="3"/>
      </w:pPr>
      <w:r>
        <w:rPr>
          <w:rFonts w:hint="eastAsia"/>
        </w:rPr>
        <w:t xml:space="preserve">技术路线：设计了面向高并发IoT场景的分层化分布式交互框架——五层解耦架构：</w:t>
      </w:r>
    </w:p>
    <w:p>
      <w:pPr>
        <w:pStyle w:val="3"/>
      </w:pPr>
      <w:r>
        <w:rPr>
          <w:rFonts w:hint="eastAsia"/>
        </w:rPr>
        <w:t xml:space="preserve">设备接入层（Device</w:t>
      </w:r>
      <w:r>
        <w:t xml:space="preserve"> Access </w:t>
      </w:r>
      <w:r>
        <w:rPr>
          <w:rFonts w:hint="eastAsia"/>
        </w:rPr>
        <w:t xml:space="preserve">Layer）：负责所有设备的物理连接管理和协议驱动加载。各协议驱动以独立插件形式运行——同一设备接入层可同时加载MQTT/HTTP/RS485/BACnet/DALI/KNX/Modbus等多种驱动插件。多个业务系统共享设备接入层的连接资源（如一个MQTT</w:t>
      </w:r>
      <w:r>
        <w:t xml:space="preserve"> </w:t>
      </w:r>
      <w:r>
        <w:rPr>
          <w:rFonts w:hint="eastAsia"/>
        </w:rPr>
        <w:t xml:space="preserve">Broker连接可服务多个业务系统），避免每个系统独立维护一套设备连接池；</w:t>
      </w:r>
    </w:p>
    <w:p>
      <w:pPr>
        <w:pStyle w:val="3"/>
      </w:pPr>
      <w:r>
        <w:rPr>
          <w:rFonts w:hint="eastAsia"/>
        </w:rPr>
        <w:t xml:space="preserve">协议解析层（Protocol</w:t>
      </w:r>
      <w:r>
        <w:t xml:space="preserve"> Parsing </w:t>
      </w:r>
      <w:r>
        <w:rPr>
          <w:rFonts w:hint="eastAsia"/>
        </w:rPr>
        <w:t xml:space="preserve">Layer）：负责将各协议的原始数据经异构协议语义空间映射引擎解析为统一设备数据模型（属性/事件/告警）。对上屏蔽协议差异，提供标准化的数据输出。协议解析层是物理层与业务层解耦的关键界面——上层业务仅接收标准化的数据模型，完全无需区分数据来源于Modbus寄存器、BACnet对象属性还是KNX组对象；</w:t>
      </w:r>
    </w:p>
    <w:p>
      <w:pPr>
        <w:pStyle w:val="3"/>
      </w:pPr>
      <w:r>
        <w:rPr>
          <w:rFonts w:hint="eastAsia"/>
        </w:rPr>
        <w:t xml:space="preserve">数据处理层（Data</w:t>
      </w:r>
      <w:r>
        <w:t xml:space="preserve"> Processing </w:t>
      </w:r>
      <w:r>
        <w:rPr>
          <w:rFonts w:hint="eastAsia"/>
        </w:rPr>
        <w:t xml:space="preserve">Layer）：负责数据清洗、标准化、存储路由和实时计算。解析后的设备数据按类型路由至不同存储——实时状态→Redis、历史数据→TDengine时序数据库、业务数据→PostgreSQL；</w:t>
      </w:r>
    </w:p>
    <w:p>
      <w:pPr>
        <w:pStyle w:val="3"/>
      </w:pPr>
      <w:r>
        <w:rPr>
          <w:rFonts w:hint="eastAsia"/>
        </w:rPr>
        <w:t xml:space="preserve">接口服务层（API</w:t>
      </w:r>
      <w:r>
        <w:t xml:space="preserve"> Service </w:t>
      </w:r>
      <w:r>
        <w:rPr>
          <w:rFonts w:hint="eastAsia"/>
        </w:rPr>
        <w:t xml:space="preserve">Layer）：提供统一的RESTful</w:t>
      </w:r>
      <w:r>
        <w:t xml:space="preserve"> </w:t>
      </w:r>
      <w:r>
        <w:rPr>
          <w:rFonts w:hint="eastAsia"/>
        </w:rPr>
        <w:t xml:space="preserve">API和MQTT消息接口，供上层业务系统调用。包括设备管理API、数据查询API、指令下发API、事件订阅API。接口服务层是业务适配层访问底层能力的唯一入口——所有业务系统通过统一的API接口获取设备数据和下发指令，而非直接访问底层设备连接；</w:t>
      </w:r>
    </w:p>
    <w:p>
      <w:pPr>
        <w:pStyle w:val="3"/>
      </w:pPr>
      <w:r>
        <w:rPr>
          <w:rFonts w:hint="eastAsia"/>
        </w:rPr>
        <w:t xml:space="preserve">业务适配层（Business</w:t>
      </w:r>
      <w:r>
        <w:t xml:space="preserve"> Adaptation </w:t>
      </w:r>
      <w:r>
        <w:rPr>
          <w:rFonts w:hint="eastAsia"/>
        </w:rPr>
        <w:t xml:space="preserve">Layer）：各应用系统（通行/访客/空间预约/会议室/卫生间）作为业务适配层的独立模块运行，通过接口服务层获取标准化的设备数据和下发指令，无需关心底层协议细节——从”各系统直接操作设备”转变为”各系统通过标准接口间接操作设备”。</w:t>
      </w:r>
    </w:p>
    <w:p>
      <w:pPr>
        <w:pStyle w:val="3"/>
      </w:pPr>
      <w:r>
        <w:rPr>
          <w:rFonts w:hint="eastAsia"/>
        </w:rPr>
        <w:t xml:space="preserve">架构设计的核心思想——物理层与业务层完全解耦的语义抽象模型：下层（接入+解析+处理+接口）提供标准化的通用能力，上层（业务适配）专注场景化的业务逻辑。新增一个业务系统只需在业务适配层开发业务逻辑，无需重复开发底层能力。这一架构利用事件总线机制实现了不同子系统间的松耦合互通——各系统通过标准的跨系统事件进行异步协作，而非直接的API调用依赖，解决了大规模IoT场景下系统间联动导致的”逻辑冲突”与”指令风暴”难题。</w:t>
      </w:r>
    </w:p>
    <w:p>
      <w:pPr>
        <w:pStyle w:val="3"/>
      </w:pPr>
      <w:r>
        <w:rPr>
          <w:rFonts w:hint="eastAsia"/>
        </w:rPr>
        <w:t xml:space="preserve">攻关过程与效果：[按实际情况填写]</w:t>
      </w:r>
    </w:p>
    <w:p>
      <w:pPr>
        <w:pStyle w:val="3"/>
      </w:pPr>
      <w:r>
        <w:t xml:space="preserve">2.5 </w:t>
      </w:r>
      <w:r>
        <w:rPr>
          <w:rFonts w:hint="eastAsia"/>
        </w:rPr>
        <w:t xml:space="preserve">声明式逻辑编排方法论——协议适配逻辑的资产化与热更新</w:t>
      </w:r>
    </w:p>
    <w:p>
      <w:pPr>
        <w:pStyle w:val="3"/>
      </w:pPr>
      <w:r>
        <w:rPr>
          <w:rFonts w:hint="eastAsia"/>
        </w:rPr>
        <w:t xml:space="preserve">技术难点：传统固化驱动开发模式下，每种协议的语义映射逻辑以命令式代码（Imperative</w:t>
      </w:r>
      <w:r>
        <w:t xml:space="preserve"> </w:t>
      </w:r>
      <w:r>
        <w:rPr>
          <w:rFonts w:hint="eastAsia"/>
        </w:rPr>
        <w:t xml:space="preserve">Code）形式硬编码在系统源码中。新增或修改一个协议的语义映射逻辑需要经历”修改源代码→编译构建→部署重启→回归测试”的完整周期，期间系统服务中断。在多品牌设备频繁接入的实际运维场景中（楼宇设备品牌更替、新设备类型引入），这种模式严重制约了系统的扩展性和运维效率。</w:t>
      </w:r>
    </w:p>
    <w:p>
      <w:pPr>
        <w:pStyle w:val="3"/>
      </w:pPr>
      <w:r>
        <w:rPr>
          <w:rFonts w:hint="eastAsia"/>
        </w:rPr>
        <w:t xml:space="preserve">技术路线：将Node-RED的工业级编排思想应用于底层驱动开发，突破了传统固化驱动的限制——将每一个协议的语义映射逻辑转化为原子化、可复用的逻辑组件（FBP</w:t>
      </w:r>
      <w:r>
        <w:t xml:space="preserve"> </w:t>
      </w:r>
      <w:r>
        <w:rPr>
          <w:rFonts w:hint="eastAsia"/>
        </w:rPr>
        <w:t xml:space="preserve">Node），实现了协议适配逻辑的资产化与热更新：</w:t>
      </w:r>
    </w:p>
    <w:p>
      <w:pPr>
        <w:pStyle w:val="3"/>
      </w:pPr>
      <w:r>
        <w:rPr>
          <w:rFonts w:hint="eastAsia"/>
        </w:rPr>
        <w:t xml:space="preserve">协议节点封装：为每种协议开发专用的Node-RED节点——MQTT节点（封装Topic路由+QoS管理+JSON</w:t>
      </w:r>
      <w:r>
        <w:t xml:space="preserve"> </w:t>
      </w:r>
      <w:r>
        <w:rPr>
          <w:rFonts w:hint="eastAsia"/>
        </w:rPr>
        <w:t xml:space="preserve">Payload解析）、Modbus节点（封装RTU/TCP双模式+功能码03/04/06/16+寄存器地址映射+CRC校验）、BACnet节点（封装Who-Is设备发现+ReadProperty/WriteProperty+COV订阅）、DALI节点（封装短地址/组地址寻址+电弧功率级/色温控制+场景调用）、KNX节点（封装TP1通信+组地址路由+DPT自动编解码）、HTTP节点（封装RESTful请求+连接池管理+超时重试）、RS485节点（封装串口帧收发+从站轮询调度）。每个节点内部封装了该协议的全部通信栈逻辑，对外暴露简洁的输入/输出端口；</w:t>
      </w:r>
    </w:p>
    <w:p>
      <w:pPr>
        <w:pStyle w:val="3"/>
      </w:pPr>
      <w:r>
        <w:rPr>
          <w:rFonts w:hint="eastAsia"/>
        </w:rPr>
        <w:t xml:space="preserve">逻辑流编排（Flow</w:t>
      </w:r>
      <w:r>
        <w:t xml:space="preserve"> </w:t>
      </w:r>
      <w:r>
        <w:rPr>
          <w:rFonts w:hint="eastAsia"/>
        </w:rPr>
        <w:t xml:space="preserve">Orchestration）：运维人员通过Node-RED的可视化编辑器，将协议节点拖拽到画布上，通过连接线编排数据流——传感器数据从Modbus节点输入端口流入，经数据标准化节点处理，流入规则判断节点进行研判，最终从工单派发节点输出。整个流程以声明式逻辑流图（Declarative</w:t>
      </w:r>
      <w:r>
        <w:t xml:space="preserve"> Flow </w:t>
      </w:r>
      <w:r>
        <w:rPr>
          <w:rFonts w:hint="eastAsia"/>
        </w:rPr>
        <w:t xml:space="preserve">Graph）表达，替代命令式代码；</w:t>
      </w:r>
    </w:p>
    <w:p>
      <w:pPr>
        <w:pStyle w:val="3"/>
      </w:pPr>
      <w:r>
        <w:rPr>
          <w:rFonts w:hint="eastAsia"/>
        </w:rPr>
        <w:t xml:space="preserve">热更新部署（Hot</w:t>
      </w:r>
      <w:r>
        <w:t xml:space="preserve"> Reload </w:t>
      </w:r>
      <w:r>
        <w:rPr>
          <w:rFonts w:hint="eastAsia"/>
        </w:rPr>
        <w:t xml:space="preserve">Deployment）：通过FBP方法论，实现了在不停止系统运行的情况下，对新设备驱动的动态接入与热更新——运维人员在Node-RED编辑器中修改节点配置或新增节点/连接线后，点击”部署”即可在线生效，无需重启边缘网关服务。这是极企在底层开发方法论上的重大技术创新——将协议语义映射逻辑从”编译期固化的代码”升级为”运行期可编排的逻辑资产”。</w:t>
      </w:r>
    </w:p>
    <w:p>
      <w:pPr>
        <w:pStyle w:val="3"/>
      </w:pPr>
      <w:r>
        <w:rPr>
          <w:rFonts w:hint="eastAsia"/>
        </w:rPr>
        <w:t xml:space="preserve">何铮所著的《Node-RED物联网应用开发工程实践》（国内首部Node-RED工程应用专著）为该方法论提供了系统性的理论支撑和工程指导。该专著详细阐述了FBP范式在物联网系统开发中的应用原则——包括节点粒度设计（一个节点封装一个完整的协议操作语义，不过度拆分也不过度聚合）、错误传播策略（节点异常沿Flow向上游传播而非静默吞没）、状态管理（无状态节点优先，有状态节点显式声明）——这些原则直接指导了本项目协议节点库的设计。</w:t>
      </w:r>
    </w:p>
    <w:p>
      <w:pPr>
        <w:pStyle w:val="3"/>
      </w:pPr>
      <w:r>
        <w:rPr>
          <w:rFonts w:hint="eastAsia"/>
        </w:rPr>
        <w:t xml:space="preserve">攻关过程与效果：[按实际情况填写]</w:t>
      </w:r>
    </w:p>
    <w:p>
      <w:pPr>
        <w:pStyle w:val="3"/>
      </w:pPr>
      <w:r>
        <w:rPr>
          <w:rFonts w:hint="eastAsia"/>
        </w:rPr>
        <w:t xml:space="preserve">技术效果：通过声明式逻辑编排方法论的引入，新设备的协议语义映射与解构从”阅读文档→编写代码→编译部署→手动高并发压力仿真试验”的线性流程转变为”配置协议节点参数→连接数据流→在线调试”的迭代式开发，协议语义映射周期缩短约60%。系统运行期间可动态接入新设备类型，无需停机维护。</w:t>
      </w:r>
    </w:p>
    <w:p>
      <w:pPr>
        <w:pStyle w:val="3"/>
      </w:pPr>
      <w:r>
        <w:rPr>
          <w:rFonts w:hint="eastAsia"/>
        </w:rPr>
        <w:t xml:space="preserve">三、技术不确定性说明</w:t>
      </w:r>
    </w:p>
    <w:p>
      <w:pPr>
        <w:pStyle w:val="3"/>
      </w:pPr>
      <w:r>
        <w:rPr>
          <w:rFonts w:hint="eastAsia"/>
        </w:rPr>
        <w:t xml:space="preserve">本项目为预研性质，以下技术问题在项目启动时没有确定的解决方案：</w:t>
      </w:r>
    </w:p>
    <w:p>
      <w:pPr>
        <w:pStyle w:val="3"/>
      </w:pPr>
      <w:r>
        <w:rPr>
          <w:rFonts w:hint="eastAsia"/>
        </w:rPr>
        <w:t xml:space="preserve">（1）【架构推翻重构——本项目最核心的研发风险印证】异构协议语义空间映射模型的抽象粒度问题是本研究的核心不确定性，也是最能证明研发属性的技术决策过程：</w:t>
      </w:r>
    </w:p>
    <w:p>
      <w:pPr>
        <w:pStyle w:val="3"/>
      </w:pPr>
      <w:r>
        <w:rPr>
          <w:rFonts w:hint="eastAsia"/>
        </w:rPr>
        <w:t xml:space="preserve">初期的技术架构设计曾试图将所有7种协议映射为完全相同的控制流——定义一套”万能”的操作语义覆盖所有协议的全部操作。</w:t>
      </w:r>
      <w:r>
        <w:rPr>
          <w:rFonts w:hint="eastAsia"/>
        </w:rPr>
        <w:t xml:space="preserve">“过度抽象”</w:t>
      </w:r>
      <w:r>
        <w:rPr>
          <w:rFonts w:hint="eastAsia"/>
        </w:rPr>
        <w:t xml:space="preserve">的方向在初步验证中似乎可行——READ和WRITE两个语义即可覆盖MQTT</w:t>
      </w:r>
      <w:r>
        <w:t xml:space="preserve"> Publish/HTTP GET+POST/Modbus </w:t>
      </w:r>
      <w:r>
        <w:rPr>
          <w:rFonts w:hint="eastAsia"/>
        </w:rPr>
        <w:t xml:space="preserve">Read+Write寄存器/BACnet</w:t>
      </w:r>
      <w:r>
        <w:t xml:space="preserve"> </w:t>
      </w:r>
      <w:r>
        <w:rPr>
          <w:rFonts w:hint="eastAsia"/>
        </w:rPr>
        <w:t xml:space="preserve">ReadProperty+WriteProperty等主要操作。但在深入验证BACnet、KNX、DALI三种高阶协议时，发现了根本性缺陷：</w:t>
      </w:r>
    </w:p>
    <w:p>
      <w:pPr>
        <w:pStyle w:val="3"/>
      </w:pPr>
      <w:r>
        <w:rPr>
          <w:rFonts w:hint="eastAsia"/>
        </w:rPr>
        <w:t xml:space="preserve">BACnet的SubscribeCOV（值变化订阅）是一种服务端主动推送机制——设备端检测属性值变化后，无需客户端轮询即主动发送变化通知，且支持配置增量上报阈值（COV</w:t>
      </w:r>
      <w:r>
        <w:t xml:space="preserve"> </w:t>
      </w:r>
      <w:r>
        <w:rPr>
          <w:rFonts w:hint="eastAsia"/>
        </w:rPr>
        <w:t xml:space="preserve">Increment，如温度变化&gt;0.5°C才上报，抑制微小波动）。强行映射为统一SUBSCRIBE语义时，如果仅抽象为”注册回调函数”的通用模式，则丢失了COV增量阈值的配置能力——上层业务无法设置”变化超过多少才通知我”，导致网络带宽被大量微小变化的无效通知消耗；</w:t>
      </w:r>
    </w:p>
    <w:p>
      <w:pPr>
        <w:pStyle w:val="3"/>
      </w:pPr>
      <w:r>
        <w:rPr>
          <w:rFonts w:hint="eastAsia"/>
        </w:rPr>
        <w:t xml:space="preserve">KNX的组对象路由机制——一个组地址可关联多个物理设备的多个组对象（如组地址1/2/3关联了”灯光回路1的开关”+</w:t>
      </w:r>
      <w:r>
        <w:rPr>
          <w:rFonts w:hint="eastAsia"/>
        </w:rPr>
        <w:t xml:space="preserve">“灯光回路2的调光级别”</w:t>
      </w:r>
      <w:r>
        <w:t xml:space="preserve">+</w:t>
      </w:r>
      <w:r>
        <w:rPr>
          <w:rFonts w:hint="eastAsia"/>
        </w:rPr>
        <w:t xml:space="preserve">“窗帘1的位置百分比”</w:t>
      </w:r>
      <w:r>
        <w:rPr>
          <w:rFonts w:hint="eastAsia"/>
        </w:rPr>
        <w:t xml:space="preserve">），写一个组地址即可同时控制多个设备。强行映射为统一WRITE语义时，如果仅抽象为”向一个地址写一个值”的通用模式，丢失了”一对多广播”的语义——上层业务将其当作单设备单属性操作使用，每次只更新一个设备的一个属性，完全丧失了KNX组地址机制的设计优势（原本一个WRITE即可同时完成开灯+调光+关窗帘的场景联动）；</w:t>
      </w:r>
    </w:p>
    <w:p>
      <w:pPr>
        <w:pStyle w:val="3"/>
      </w:pPr>
      <w:r>
        <w:rPr>
          <w:rFonts w:hint="eastAsia"/>
        </w:rPr>
        <w:t xml:space="preserve">DALI的场景调用机制——16个预置场景（Scene</w:t>
      </w:r>
      <w:r>
        <w:t xml:space="preserve"> </w:t>
      </w:r>
      <w:r>
        <w:rPr>
          <w:rFonts w:hint="eastAsia"/>
        </w:rPr>
        <w:t xml:space="preserve">0-15）存储在每个DALI灯具的非易失内存中，一条广播指令即可调用所有同组灯具的预设场景（如Scene</w:t>
      </w:r>
      <w:r>
        <w:t xml:space="preserve"> 1=</w:t>
      </w:r>
      <w:r>
        <w:rPr>
          <w:rFonts w:hint="eastAsia"/>
        </w:rPr>
        <w:t xml:space="preserve">“会议模式”</w:t>
      </w:r>
      <w:r>
        <w:rPr>
          <w:rFonts w:hint="eastAsia"/>
        </w:rPr>
        <w:t xml:space="preserve">=100%亮度+4000K色温，Scene</w:t>
      </w:r>
      <w:r>
        <w:t xml:space="preserve"> 2=</w:t>
      </w:r>
      <w:r>
        <w:rPr>
          <w:rFonts w:hint="eastAsia"/>
        </w:rPr>
        <w:t xml:space="preserve">“休息模式”</w:t>
      </w:r>
      <w:r>
        <w:rPr>
          <w:rFonts w:hint="eastAsia"/>
        </w:rPr>
        <w:t xml:space="preserve">=30%亮度+2700K色温），无需逐灯发送调光和色温指令。强行映射为统一EXECUTE语义时，如果仅抽象为”执行一个命令”的通用模式，丢失了DALI场景的”预置+广播同时生效”的原子性语义。</w:t>
      </w:r>
    </w:p>
    <w:p>
      <w:pPr>
        <w:pStyle w:val="3"/>
      </w:pPr>
      <w:r>
        <w:rPr>
          <w:rFonts w:hint="eastAsia"/>
        </w:rPr>
        <w:t xml:space="preserve">这些发现揭示了一个深刻的技术矛盾：</w:t>
      </w:r>
      <w:r>
        <w:rPr>
          <w:rFonts w:hint="eastAsia"/>
          <w:b/>
          <w:bCs/>
        </w:rPr>
        <w:t xml:space="preserve">抽象度的提升必然伴随协议特有能力的语义损失</w:t>
      </w:r>
      <w:r>
        <w:rPr>
          <w:rFonts w:hint="eastAsia"/>
        </w:rPr>
        <w:t xml:space="preserve">。如何在”通用性”与”协议特有能力调用”之间取得最佳平衡——这一问题的答案不存在于任何现成的技术文献或设计模式中，需要通过对7种协议的全量操作语义分析、多轮设计迭代来逐步逼近。</w:t>
      </w:r>
    </w:p>
    <w:p>
      <w:pPr>
        <w:pStyle w:val="3"/>
      </w:pPr>
      <w:r>
        <w:rPr>
          <w:rFonts w:hint="eastAsia"/>
        </w:rPr>
        <w:t xml:space="preserve">团队放弃了”万能统一模型”方向，重构为”核心统一+扩展适配”双层次语义抽象模型——核心统一层提供五类逻辑语义覆盖通用操作，扩展适配层通过协议专属参数承载协议特有操作。这一重构经历了多轮底层二进制协议抓包与重构验证（使用Wireshark/串口监听工具逐一捕获每种协议在实际设备通信中的原始帧数据），处理了数十种边界异常状态。每增加一种新协议的验证都可能导致语义划分的调整——例如在验证OPC</w:t>
      </w:r>
      <w:r>
        <w:t xml:space="preserve"> </w:t>
      </w:r>
      <w:r>
        <w:rPr>
          <w:rFonts w:hint="eastAsia"/>
        </w:rPr>
        <w:t xml:space="preserve">UA协议的可行性时，发现其订阅机制（MonitoredItem+SamplingInterval+PublishingInterval三层配置）比BACnet</w:t>
      </w:r>
      <w:r>
        <w:t xml:space="preserve"> </w:t>
      </w:r>
      <w:r>
        <w:rPr>
          <w:rFonts w:hint="eastAsia"/>
        </w:rPr>
        <w:t xml:space="preserve">COV更复杂，需要验证扩展适配层能否承载。</w:t>
      </w:r>
    </w:p>
    <w:p>
      <w:pPr>
        <w:pStyle w:val="3"/>
      </w:pPr>
      <w:r>
        <w:rPr>
          <w:rFonts w:hint="eastAsia"/>
        </w:rPr>
        <w:t xml:space="preserve">此次推翻重构（从”万能统一模型”到”核心统一+扩展适配”）的研发投入约占项目总工作量的40%，是本研究区别于”简单代码整理”的核心证据。</w:t>
      </w:r>
    </w:p>
    <w:p>
      <w:pPr>
        <w:pStyle w:val="3"/>
      </w:pPr>
      <w:r>
        <w:rPr>
          <w:rFonts w:hint="eastAsia"/>
        </w:rPr>
        <w:t xml:space="preserve">（2）通用化异构协议语义空间映射框架能否覆盖5个系统中所有已实现的协议语义映射需求——特别是能否兼容各系统中深度耦合业务逻辑的映射实现——通行系统的MQTT消息处理嵌入了权限下发和通行日志逻辑，会议室系统的BACnet对象操作嵌入了场景联动映射。如何剥离业务逻辑、仅保留协议语义映射层，同时不损失功能和性能，需逐个系统验证。这是一个”反向工程+重新设计”的过程——不是简单的代码提取，而是理解每个系统对每种协议的使用模式后重新设计通用方案；</w:t>
      </w:r>
    </w:p>
    <w:p>
      <w:pPr>
        <w:pStyle w:val="3"/>
      </w:pPr>
      <w:r>
        <w:rPr>
          <w:rFonts w:hint="eastAsia"/>
        </w:rPr>
        <w:t xml:space="preserve">（3）基于五层解耦架构的分布式数据交互规范和事件总线机制在实际跨系统联动场景中的延迟和可靠性——事件总线替代逐对API调用后，发布/订阅延迟（消息从生产方发出到消费方收到的时间差）是否在可接受范围内，高并发场景下MQTT</w:t>
      </w:r>
      <w:r>
        <w:t xml:space="preserve"> </w:t>
      </w:r>
      <w:r>
        <w:rPr>
          <w:rFonts w:hint="eastAsia"/>
        </w:rPr>
        <w:t xml:space="preserve">Broker的吞吐压力，事件丢失和重复投递的处理策略，需通过跨系统联动全链路高并发压力仿真试验验证；</w:t>
      </w:r>
    </w:p>
    <w:p>
      <w:pPr>
        <w:pStyle w:val="3"/>
      </w:pPr>
      <w:r>
        <w:rPr>
          <w:rFonts w:hint="eastAsia"/>
        </w:rPr>
        <w:t xml:space="preserve">（4）事件驱动的五层分布式解耦架构在边缘网关（资源受限：ARM处理器、1-2GB</w:t>
      </w:r>
      <w:r>
        <w:t xml:space="preserve"> </w:t>
      </w:r>
      <w:r>
        <w:rPr>
          <w:rFonts w:hint="eastAsia"/>
        </w:rPr>
        <w:t xml:space="preserve">RAM）上的运行性能——五层架构在云端部署时资源充足，但在边缘网关上，设备接入层+协议解析层+数据处理层同时运行的内存和CPU占用是否在可接受范围内，是否能满足实时性要求（传感器告警延迟≤[X]秒），需实测验证；</w:t>
      </w:r>
    </w:p>
    <w:p>
      <w:pPr>
        <w:pStyle w:val="3"/>
      </w:pPr>
      <w:r>
        <w:rPr>
          <w:rFonts w:hint="eastAsia"/>
        </w:rPr>
        <w:t xml:space="preserve">（5）从分散实现到统一框架的渐进式迁移——5个系统已稳定运行，如何设计迁移方案使其逐步接入统一框架而不影响现有系统的稳定性，需设计高并发压力仿真试验和灰度切换策略。</w:t>
      </w:r>
    </w:p>
    <w:p>
      <w:pPr>
        <w:pStyle w:val="3"/>
      </w:pPr>
      <w:r>
        <w:rPr>
          <w:rFonts w:hint="eastAsia"/>
        </w:rPr>
        <w:t xml:space="preserve">四、本项目的创新性说明</w:t>
      </w:r>
    </w:p>
    <w:p>
      <w:pPr>
        <w:pStyle w:val="3"/>
      </w:pPr>
      <w:r>
        <w:rPr>
          <w:rFonts w:hint="eastAsia"/>
        </w:rPr>
        <w:t xml:space="preserve">本项目的创新性不在于”发明全新的底层通信技术”（通信协议本身是已有国际/行业标准），而在于以下三个层面的原创性技术研究：</w:t>
      </w:r>
    </w:p>
    <w:p>
      <w:pPr>
        <w:pStyle w:val="3"/>
      </w:pPr>
      <w:r>
        <w:rPr>
          <w:rFonts w:hint="eastAsia"/>
        </w:rPr>
        <w:t xml:space="preserve">（1）异构协议语义空间映射与指令解构模型的原创性设计：7种协议的通信模型、寻址方式、数据编码和操作语义存在本质性差异——MQTT的异步发布/订阅、HTTP的同步请求/响应、RS485的半双工主从轮询、BACnet的对象属性读写、DALI的16位短指令广播寻址、KNX的组地址报文路由、Modbus的寄存器地址读写——没有现成的设计模式或参考实现可以直接解决这一抽象问题。研究团队需要逐一分析每种协议的通信模型和操作语义，设计统一寻址方案、统一编解码方案和统一操作语义方案，在通用性和协议特有能力调用之间反复权衡。最终形成的”核心统一+扩展适配”双层次模型是经过”万能统一模型→发现BACnet/KNX/DALI高阶特性丢失→推翻重构”这一完整试错过程后的原创性成果，而非对现有方案的简单改良；</w:t>
      </w:r>
    </w:p>
    <w:p>
      <w:pPr>
        <w:pStyle w:val="3"/>
      </w:pPr>
      <w:r>
        <w:rPr>
          <w:rFonts w:hint="eastAsia"/>
        </w:rPr>
        <w:t xml:space="preserve">（2）从分散实现到统一框架不是代码整合，而是抽象提炼——物理层与业务层完全解耦的语义抽象模型设计：5个系统各自开发的协议语义映射代码不能直接合并——它们分别针对特定场景做了深度定制（如通行系统的MQTT映射嵌入了权限下发逻辑、会议室系统的BACnet映射嵌入了场景联动映射），代码质量、设计风格和数据结构各不相同。统一框架的设计是从这些分散实现中提取共性模式（如”所有协议都有设备发现、连接管理、指令收发、状态解析这四个阶段”），将其上升为抽象的设计模式和接口规范，而非简单地copy/paste代码或加一层wrapper。这一提炼过程需要理解所有分散实现的技术细节，找出共性和差异，设计能同时覆盖共性并容纳差异的统一方案——本质上是技术研究工作，将硬件控制指令抽象为可定义的逻辑资产，实现了从纯软件代码到逻辑资产的升维；</w:t>
      </w:r>
    </w:p>
    <w:p>
      <w:pPr>
        <w:pStyle w:val="3"/>
      </w:pPr>
      <w:r>
        <w:rPr>
          <w:rFonts w:hint="eastAsia"/>
        </w:rPr>
        <w:t xml:space="preserve">（3）技术不确定性构成研发属性的核心证据：异构协议语义空间映射模型的抽象粒度不存在现成答案——过于通用（</w:t>
      </w:r>
      <w:r>
        <w:rPr>
          <w:rFonts w:hint="eastAsia"/>
        </w:rPr>
        <w:t xml:space="preserve">“万能统一模型”</w:t>
      </w:r>
      <w:r>
        <w:rPr>
          <w:rFonts w:hint="eastAsia"/>
        </w:rPr>
        <w:t xml:space="preserve">方向）导致BACnet</w:t>
      </w:r>
      <w:r>
        <w:t xml:space="preserve"> </w:t>
      </w:r>
      <w:r>
        <w:rPr>
          <w:rFonts w:hint="eastAsia"/>
        </w:rPr>
        <w:t xml:space="preserve">SubscribeCOV增量上报/KNX组地址一对多广播/DALI场景原子广播等高阶特性丢失，过于适配则退化回各自映射的老路。这一权衡需通过7种协议的全量操作语义分析、多轮设计迭代和新协议验证来逐步逼近，经历了从”万能统一模型”到”核心统一+扩展适配”的架构推翻重构。每增加一种新协议（如OPC</w:t>
      </w:r>
      <w:r>
        <w:t xml:space="preserve"> </w:t>
      </w:r>
      <w:r>
        <w:rPr>
          <w:rFonts w:hint="eastAsia"/>
        </w:rPr>
        <w:t xml:space="preserve">UA、Matter）的验证都可能导致模型调整。这些不确定性构成研发活动与常规软件开发的核心区别——如果这是一个已知答案的问题，就不会经历推翻重构的过程。</w:t>
      </w:r>
    </w:p>
    <w:p>
      <w:pPr>
        <w:pStyle w:val="3"/>
      </w:pPr>
      <w:r>
        <w:rPr>
          <w:rFonts w:hint="eastAsia"/>
        </w:rPr>
        <w:t xml:space="preserve">五、与5个应用系统的技术关系</w:t>
      </w:r>
    </w:p>
    <w:p>
      <w:pPr>
        <w:pStyle w:val="3"/>
      </w:pPr>
      <w:r>
        <w:rPr>
          <w:rFonts w:hint="eastAsia"/>
        </w:rPr>
        <w:t xml:space="preserve">本项目与5个应用系统的关系详见《极企智能楼宇技术体系研发总体说明》。核心要点：</w:t>
      </w:r>
      <w:r>
        <w:t xml:space="preserve"> </w:t>
      </w:r>
      <w:r>
        <w:t xml:space="preserve">- </w:t>
      </w:r>
      <w:r>
        <w:rPr>
          <w:rFonts w:hint="eastAsia"/>
        </w:rPr>
        <w:t xml:space="preserve">5个应用系统各自独立完成了本场景的技术攻关（2024.1—2025.7先行完成）；</w:t>
      </w:r>
      <w:r>
        <w:t xml:space="preserve"> </w:t>
      </w:r>
      <w:r>
        <w:t xml:space="preserve">- </w:t>
      </w:r>
      <w:r>
        <w:rPr>
          <w:rFonts w:hint="eastAsia"/>
        </w:rPr>
        <w:t xml:space="preserve">本项目从5个系统的技术实践中提炼共性，研究设计统一框架和标准规范（2025.8—2025.12后续启动）；</w:t>
      </w:r>
      <w:r>
        <w:t xml:space="preserve"> </w:t>
      </w:r>
      <w:r>
        <w:t xml:space="preserve">- </w:t>
      </w:r>
      <w:r>
        <w:rPr>
          <w:rFonts w:hint="eastAsia"/>
        </w:rPr>
        <w:t xml:space="preserve">本项目的成果将为后续产品迭代和新系统开发提供统一技术基础，不改变5个系统已完成的研发工作的独立性。</w:t>
      </w:r>
    </w:p>
    <w:p>
      <w:pPr>
        <w:pStyle w:val="3"/>
      </w:pPr>
      <w:r>
        <w:rPr>
          <w:rFonts w:hint="eastAsia"/>
        </w:rPr>
        <w:t xml:space="preserve">六、项目核心团队与方法论支撑</w:t>
      </w:r>
    </w:p>
    <w:p>
      <w:pPr>
        <w:pStyle w:val="3"/>
      </w:pPr>
      <w:r>
        <w:rPr>
          <w:rFonts w:hint="eastAsia"/>
        </w:rPr>
        <w:t xml:space="preserve">本项目由公司首席架构师何铮（四川省”千人计划”专家、系统架构设计师（高级））领衔研发，重点针对异构协议语义空间映射模型的覆盖完整性进行了专题攻关——在项目初期”万能统一模型”暴露BACnet/KNX/DALI高阶特性丢失的问题后，由何铮主导了向”核心统一+扩展适配”双层次模型的技术决策，并对五类逻辑语义（READ/WRITE/SUBSCRIBE/EXECUTE/DISCOVER）的划分边界和扩展机制的语义表达能力进行了系统化推演和验证。</w:t>
      </w:r>
    </w:p>
    <w:p>
      <w:pPr>
        <w:pStyle w:val="3"/>
      </w:pPr>
      <w:r>
        <w:rPr>
          <w:rFonts w:hint="eastAsia"/>
        </w:rPr>
        <w:t xml:space="preserve">本项目以《Node-RED物联网应用开发工程实践》专著的方法论为内核——底层通信协议的解构逻辑通过FBP范式被抽象为原子化、可复用的逻辑节点（Nodes），将传统的”编译期固化的协议驱动代码”升维为”运行期可编排的逻辑资产”。专著中关于节点粒度设计、错误传播策略、状态管理等FBP工程原则直接指导了本项目协议节点库的架构设计。这一方法论创新使得协议语义映射与解构从线性开发流程转变为迭代式可视化编排，新协议的接入无需修改核心框架代码、仅需配置和连接节点即可完成。</w:t>
      </w:r>
    </w:p>
    <w:p>
      <w:pPr>
        <w:pStyle w:val="3"/>
      </w:pPr>
      <w:r>
        <w:rPr>
          <w:rFonts w:hint="eastAsia"/>
        </w:rPr>
        <w:t xml:space="preserve">本项目的技术框架设计文档、7种协议全量操作语义分析表、统一寻址/编解码/操作语义映射规范、五层解耦架构设计文档、跨系统数据交互规范，已被公司内部定义为楼宇AIoT研发的标准框架，为后续产品线（智能节能系统Green、AI感知物联系统VisionCount等）提供了统一的技术基础和方法论指导。</w:t>
      </w:r>
    </w:p>
    <w:p>
      <w:pPr>
        <w:pStyle w:val="3"/>
      </w:pPr>
      <w:r>
        <w:rPr>
          <w:rFonts w:hint="eastAsia"/>
        </w:rPr>
        <w:t xml:space="preserve">七、研发成果</w:t>
      </w:r>
    </w:p>
    <w:p>
      <w:pPr>
        <w:pStyle w:val="3"/>
      </w:pPr>
      <w:r>
        <w:rPr>
          <w:rFonts w:hint="eastAsia"/>
        </w:rPr>
        <w:t xml:space="preserve">（1）完成楼宇AIoT底层技术框架雏形搭建：研究设计了异构协议语义空间映射与指令解构模型（覆盖7种协议的READ/WRITE/SUBSCRIBE/EXECUTE/DISCOVER五类统一逻辑语义，采用”核心统一+扩展适配”双层次架构），开发了7种协议的概念验证驱动插件（以FBP原子化节点形式封装），验证了统一模型的可扩展性；</w:t>
      </w:r>
    </w:p>
    <w:p>
      <w:pPr>
        <w:pStyle w:val="3"/>
      </w:pPr>
      <w:r>
        <w:rPr>
          <w:rFonts w:hint="eastAsia"/>
        </w:rPr>
        <w:t xml:space="preserve">（2）技术文档体系：《楼宇AIoT底层技术整体研究报告》、异构协议语义空间映射与指令解构框架设计文档（含7种协议全量操作语义分析）、统一设备接入全生命周期标准规范、事件驱动的五层分布式解耦架构设计文档、基于五层解耦架构的分布式数据交互规范与事件总线设计文档；</w:t>
      </w:r>
    </w:p>
    <w:p>
      <w:pPr>
        <w:pStyle w:val="3"/>
      </w:pPr>
      <w:r>
        <w:rPr>
          <w:rFonts w:hint="eastAsia"/>
        </w:rPr>
        <w:t xml:space="preserve">（3）多设备互联互通高并发压力仿真试验报告：基于7种协议的概念验证驱动，进行了多品类设备（门禁/梯控/空调/灯光/窗帘/传感器/音视频）的接入高并发压力仿真试验，验证了异构协议语义空间映射模型的可扩展性和跨系统数据互通的可行性。通过语义对齐模型的研发，协议语义映射周期缩短60%，实现了对7大类、100种品牌设备的统一接入；</w:t>
      </w:r>
    </w:p>
    <w:p>
      <w:pPr>
        <w:pStyle w:val="3"/>
      </w:pPr>
      <w:r>
        <w:rPr>
          <w:rFonts w:hint="eastAsia"/>
        </w:rPr>
        <w:t xml:space="preserve">（4）本项目为底层技术预研项目，以技术攻关、方案论证、规范制定为核心成果，无对应应用软件著作权登记需求。</w:t>
      </w:r>
    </w:p>
    <w:sectPr>
      <w:cols w:num="1"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EA454B4C"/>
    <w:multiLevelType w:val="multilevel"/>
    <w:tmpl w:val="EA454B4C"/>
    <w:lvl w:ilvl="0" w:tentative="0">
      <w:start w:val="0"/>
      <w:numFmt w:val="bullet"/>
      <w:lvlText w:val="•"/>
      <w:lvlJc w:val="left"/>
      <w:pPr>
        <w:tabs>
          <w:tab w:pos="0" w:val="left"/>
        </w:tabs>
        <w:ind w:hanging="480" w:left="480"/>
      </w:pPr>
    </w:lvl>
    <w:lvl w:ilvl="1" w:tentative="0">
      <w:start w:val="0"/>
      <w:numFmt w:val="bullet"/>
      <w:lvlText w:val="–"/>
      <w:lvlJc w:val="left"/>
      <w:pPr>
        <w:tabs>
          <w:tab w:pos="720" w:val="left"/>
        </w:tabs>
        <w:ind w:hanging="480" w:left="1200"/>
      </w:pPr>
    </w:lvl>
    <w:lvl w:ilvl="2" w:tentative="0">
      <w:start w:val="0"/>
      <w:numFmt w:val="bullet"/>
      <w:lvlText w:val="•"/>
      <w:lvlJc w:val="left"/>
      <w:pPr>
        <w:tabs>
          <w:tab w:pos="1440" w:val="left"/>
        </w:tabs>
        <w:ind w:hanging="480" w:left="1920"/>
      </w:pPr>
    </w:lvl>
    <w:lvl w:ilvl="3" w:tentative="0">
      <w:start w:val="0"/>
      <w:numFmt w:val="bullet"/>
      <w:lvlText w:val="–"/>
      <w:lvlJc w:val="left"/>
      <w:pPr>
        <w:tabs>
          <w:tab w:pos="2160" w:val="left"/>
        </w:tabs>
        <w:ind w:hanging="480" w:left="2640"/>
      </w:pPr>
    </w:lvl>
    <w:lvl w:ilvl="4" w:tentative="0">
      <w:start w:val="0"/>
      <w:numFmt w:val="bullet"/>
      <w:lvlText w:val="•"/>
      <w:lvlJc w:val="left"/>
      <w:pPr>
        <w:tabs>
          <w:tab w:pos="2880" w:val="left"/>
        </w:tabs>
        <w:ind w:hanging="480" w:left="3360"/>
      </w:pPr>
    </w:lvl>
    <w:lvl w:ilvl="5" w:tentative="0">
      <w:start w:val="0"/>
      <w:numFmt w:val="bullet"/>
      <w:lvlText w:val="–"/>
      <w:lvlJc w:val="left"/>
      <w:pPr>
        <w:tabs>
          <w:tab w:pos="3600" w:val="left"/>
        </w:tabs>
        <w:ind w:hanging="480" w:left="4080"/>
      </w:pPr>
    </w:lvl>
    <w:lvl w:ilvl="6" w:tentative="0">
      <w:start w:val="0"/>
      <w:numFmt w:val="bullet"/>
      <w:lvlText w:val="•"/>
      <w:lvlJc w:val="left"/>
      <w:pPr>
        <w:tabs>
          <w:tab w:pos="4320" w:val="left"/>
        </w:tabs>
        <w:ind w:hanging="480" w:left="4800"/>
      </w:pPr>
    </w:lvl>
    <w:lvl w:ilvl="7" w:tentative="0">
      <w:start w:val="0"/>
      <w:numFmt w:val="bullet"/>
      <w:lvlText w:val="–"/>
      <w:lvlJc w:val="left"/>
      <w:pPr>
        <w:tabs>
          <w:tab w:pos="5040" w:val="left"/>
        </w:tabs>
        <w:ind w:hanging="480" w:left="5520"/>
      </w:pPr>
    </w:lvl>
    <w:lvl w:ilvl="8" w:tentative="0">
      <w:start w:val="0"/>
      <w:numFmt w:val="bullet"/>
      <w:lvlText w:val="•"/>
      <w:lvlJc w:val="left"/>
      <w:pPr>
        <w:tabs>
          <w:tab w:pos="5760" w:val="left"/>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8"/>
  <w:embedSystemFonts/>
  <w:proofState w:grammar="clean" w:spelling="clean"/>
  <w:stylePaneFormatFilter w:val="0004"/>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26210101"/>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HAnsi"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semiHidden="0" w:uiPriority="9"/>
    <w:lsdException w:name="heading 5" w:qFormat="1" w:semiHidden="0" w:uiPriority="9"/>
    <w:lsdException w:name="heading 6" w:qFormat="1" w:semiHidden="0" w:uiPriority="9"/>
    <w:lsdException w:name="heading 7" w:qFormat="1" w:semiHidden="0" w:uiPriority="9"/>
    <w:lsdException w:name="heading 8" w:qFormat="1" w:semiHidden="0" w:uiPriority="9"/>
    <w:lsdException w:name="heading 9" w:qFormat="1" w:semiHidden="0"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qFormat="1"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uiPriority="0"/>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200"/>
    </w:pPr>
    <w:rPr>
      <w:rFonts w:asciiTheme="minorHAnsi" w:cstheme="minorBidi" w:eastAsiaTheme="minorHAnsi" w:hAnsiTheme="minorHAnsi"/>
      <w:sz w:val="24"/>
      <w:szCs w:val="24"/>
      <w:lang w:bidi="ar-SA" w:eastAsia="en-US" w:val="en-US"/>
    </w:rPr>
  </w:style>
  <w:style w:styleId="2" w:type="paragraph">
    <w:name w:val="heading 1"/>
    <w:basedOn w:val="1"/>
    <w:next w:val="3"/>
    <w:qFormat/>
    <w:uiPriority w:val="9"/>
    <w:pPr>
      <w:keepNext/>
      <w:keepLines/>
      <w:spacing w:after="0" w:before="480"/>
      <w:outlineLvl w:val="0"/>
    </w:pPr>
    <w:rPr>
      <w:rFonts w:asciiTheme="majorHAnsi" w:cstheme="majorBidi" w:eastAsiaTheme="majorEastAsia" w:hAnsiTheme="majorHAnsi"/>
      <w:b/>
      <w:bCs/>
      <w:color w:themeColor="accent1" w:val="4F81BD"/>
      <w:sz w:val="32"/>
      <w:szCs w:val="32"/>
    </w:rPr>
  </w:style>
  <w:style w:styleId="4" w:type="paragraph">
    <w:name w:val="heading 2"/>
    <w:basedOn w:val="1"/>
    <w:next w:val="3"/>
    <w:unhideWhenUsed/>
    <w:qFormat/>
    <w:uiPriority w:val="9"/>
    <w:pPr>
      <w:keepNext/>
      <w:keepLines/>
      <w:spacing w:after="0" w:before="200"/>
      <w:outlineLvl w:val="1"/>
    </w:pPr>
    <w:rPr>
      <w:rFonts w:asciiTheme="majorHAnsi" w:cstheme="majorBidi" w:eastAsiaTheme="majorEastAsia" w:hAnsiTheme="majorHAnsi"/>
      <w:b/>
      <w:bCs/>
      <w:color w:themeColor="accent1" w:val="4F81BD"/>
      <w:sz w:val="28"/>
      <w:szCs w:val="28"/>
    </w:rPr>
  </w:style>
  <w:style w:styleId="5" w:type="paragraph">
    <w:name w:val="heading 3"/>
    <w:basedOn w:val="1"/>
    <w:next w:val="3"/>
    <w:unhideWhenUsed/>
    <w:qFormat/>
    <w:uiPriority w:val="9"/>
    <w:pPr>
      <w:keepNext/>
      <w:keepLines/>
      <w:spacing w:after="0" w:before="200"/>
      <w:outlineLvl w:val="2"/>
    </w:pPr>
    <w:rPr>
      <w:rFonts w:asciiTheme="majorHAnsi" w:cstheme="majorBidi" w:eastAsiaTheme="majorEastAsia" w:hAnsiTheme="majorHAnsi"/>
      <w:b/>
      <w:bCs/>
      <w:color w:themeColor="accent1" w:val="4F81BD"/>
      <w:sz w:val="24"/>
      <w:szCs w:val="24"/>
    </w:rPr>
  </w:style>
  <w:style w:styleId="6" w:type="paragraph">
    <w:name w:val="heading 4"/>
    <w:basedOn w:val="1"/>
    <w:next w:val="3"/>
    <w:unhideWhenUsed/>
    <w:qFormat/>
    <w:uiPriority w:val="9"/>
    <w:pPr>
      <w:keepNext/>
      <w:keepLines/>
      <w:spacing w:after="0" w:before="200"/>
      <w:outlineLvl w:val="3"/>
    </w:pPr>
    <w:rPr>
      <w:rFonts w:asciiTheme="majorHAnsi" w:cstheme="majorBidi" w:eastAsiaTheme="majorEastAsia" w:hAnsiTheme="majorHAnsi"/>
      <w:bCs/>
      <w:i/>
      <w:color w:themeColor="accent1" w:val="4F81BD"/>
      <w:sz w:val="24"/>
      <w:szCs w:val="24"/>
    </w:rPr>
  </w:style>
  <w:style w:styleId="7" w:type="paragraph">
    <w:name w:val="heading 5"/>
    <w:basedOn w:val="1"/>
    <w:next w:val="3"/>
    <w:unhideWhenUsed/>
    <w:qFormat/>
    <w:uiPriority w:val="9"/>
    <w:pPr>
      <w:keepNext/>
      <w:keepLines/>
      <w:spacing w:after="0" w:before="200"/>
      <w:outlineLvl w:val="4"/>
    </w:pPr>
    <w:rPr>
      <w:rFonts w:asciiTheme="majorHAnsi" w:cstheme="majorBidi" w:eastAsiaTheme="majorEastAsia" w:hAnsiTheme="majorHAnsi"/>
      <w:iCs/>
      <w:color w:themeColor="accent1" w:val="4F81BD"/>
      <w:sz w:val="24"/>
      <w:szCs w:val="24"/>
    </w:rPr>
  </w:style>
  <w:style w:styleId="8" w:type="paragraph">
    <w:name w:val="heading 6"/>
    <w:basedOn w:val="1"/>
    <w:next w:val="3"/>
    <w:unhideWhenUsed/>
    <w:qFormat/>
    <w:uiPriority w:val="9"/>
    <w:pPr>
      <w:keepNext/>
      <w:keepLines/>
      <w:spacing w:after="0" w:before="200"/>
      <w:outlineLvl w:val="5"/>
    </w:pPr>
    <w:rPr>
      <w:rFonts w:asciiTheme="majorHAnsi" w:cstheme="majorBidi" w:eastAsiaTheme="majorEastAsia" w:hAnsiTheme="majorHAnsi"/>
      <w:color w:themeColor="accent1" w:val="4F81BD"/>
      <w:sz w:val="24"/>
      <w:szCs w:val="24"/>
    </w:rPr>
  </w:style>
  <w:style w:styleId="9" w:type="paragraph">
    <w:name w:val="heading 7"/>
    <w:basedOn w:val="1"/>
    <w:next w:val="3"/>
    <w:unhideWhenUsed/>
    <w:qFormat/>
    <w:uiPriority w:val="9"/>
    <w:pPr>
      <w:keepNext/>
      <w:keepLines/>
      <w:spacing w:after="0" w:before="200"/>
      <w:outlineLvl w:val="6"/>
    </w:pPr>
    <w:rPr>
      <w:rFonts w:asciiTheme="majorHAnsi" w:cstheme="majorBidi" w:eastAsiaTheme="majorEastAsia" w:hAnsiTheme="majorHAnsi"/>
      <w:color w:themeColor="accent1" w:val="4F81BD"/>
      <w:sz w:val="24"/>
      <w:szCs w:val="24"/>
    </w:rPr>
  </w:style>
  <w:style w:styleId="10" w:type="paragraph">
    <w:name w:val="heading 8"/>
    <w:basedOn w:val="1"/>
    <w:next w:val="3"/>
    <w:unhideWhenUsed/>
    <w:qFormat/>
    <w:uiPriority w:val="9"/>
    <w:pPr>
      <w:keepNext/>
      <w:keepLines/>
      <w:spacing w:after="0" w:before="200"/>
      <w:outlineLvl w:val="7"/>
    </w:pPr>
    <w:rPr>
      <w:rFonts w:asciiTheme="majorHAnsi" w:cstheme="majorBidi" w:eastAsiaTheme="majorEastAsia" w:hAnsiTheme="majorHAnsi"/>
      <w:color w:themeColor="accent1" w:val="4F81BD"/>
      <w:sz w:val="24"/>
      <w:szCs w:val="24"/>
    </w:rPr>
  </w:style>
  <w:style w:styleId="11" w:type="paragraph">
    <w:name w:val="heading 9"/>
    <w:basedOn w:val="1"/>
    <w:next w:val="3"/>
    <w:unhideWhenUsed/>
    <w:qFormat/>
    <w:uiPriority w:val="9"/>
    <w:pPr>
      <w:keepNext/>
      <w:keepLines/>
      <w:spacing w:after="0" w:before="200"/>
      <w:outlineLvl w:val="8"/>
    </w:pPr>
    <w:rPr>
      <w:rFonts w:asciiTheme="majorHAnsi" w:cstheme="majorBidi" w:eastAsiaTheme="majorEastAsia" w:hAnsiTheme="majorHAnsi"/>
      <w:color w:themeColor="accent1" w:val="4F81BD"/>
      <w:sz w:val="24"/>
      <w:szCs w:val="24"/>
    </w:rPr>
  </w:style>
  <w:style w:default="1" w:styleId="19" w:type="character">
    <w:name w:val="Default Paragraph Font"/>
    <w:semiHidden/>
    <w:unhideWhenUsed/>
    <w:uiPriority w:val="0"/>
  </w:style>
  <w:style w:default="1" w:styleId="18" w:type="table">
    <w:name w:val="Normal Table"/>
    <w:uiPriority w:val="0"/>
    <w:tblPr>
      <w:tblCellMar>
        <w:top w:type="dxa" w:w="0"/>
        <w:left w:type="dxa" w:w="108"/>
        <w:bottom w:type="dxa" w:w="0"/>
        <w:right w:type="dxa" w:w="108"/>
      </w:tblCellMar>
    </w:tblPr>
  </w:style>
  <w:style w:styleId="3" w:type="paragraph">
    <w:name w:val="Body Text"/>
    <w:basedOn w:val="1"/>
    <w:link w:val="21"/>
    <w:qFormat/>
    <w:uiPriority w:val="0"/>
    <w:pPr>
      <w:spacing w:after="180" w:before="180"/>
    </w:pPr>
  </w:style>
  <w:style w:styleId="12" w:type="paragraph">
    <w:name w:val="caption"/>
    <w:basedOn w:val="1"/>
    <w:qFormat/>
    <w:uiPriority w:val="0"/>
    <w:pPr>
      <w:spacing w:after="120" w:before="0"/>
    </w:pPr>
    <w:rPr>
      <w:i/>
    </w:rPr>
  </w:style>
  <w:style w:styleId="13" w:type="paragraph">
    <w:name w:val="Block Text"/>
    <w:basedOn w:val="3"/>
    <w:next w:val="3"/>
    <w:unhideWhenUsed/>
    <w:qFormat/>
    <w:uiPriority w:val="9"/>
    <w:pPr>
      <w:spacing w:after="100" w:before="100"/>
      <w:ind w:firstLine="0" w:left="480" w:right="480"/>
    </w:pPr>
  </w:style>
  <w:style w:styleId="14" w:type="paragraph">
    <w:name w:val="Date"/>
    <w:next w:val="3"/>
    <w:qFormat/>
    <w:uiPriority w:val="0"/>
    <w:pPr>
      <w:keepNext/>
      <w:keepLines/>
      <w:spacing w:after="200"/>
      <w:jc w:val="center"/>
    </w:pPr>
    <w:rPr>
      <w:rFonts w:asciiTheme="minorHAnsi" w:cstheme="minorBidi" w:eastAsiaTheme="minorHAnsi" w:hAnsiTheme="minorHAnsi"/>
      <w:sz w:val="24"/>
      <w:szCs w:val="24"/>
      <w:lang w:bidi="ar-SA" w:eastAsia="en-US" w:val="en-US"/>
    </w:rPr>
  </w:style>
  <w:style w:styleId="15" w:type="paragraph">
    <w:name w:val="Subtitle"/>
    <w:basedOn w:val="16"/>
    <w:next w:val="3"/>
    <w:qFormat/>
    <w:uiPriority w:val="0"/>
    <w:pPr>
      <w:keepNext/>
      <w:keepLines/>
      <w:spacing w:after="240" w:before="240"/>
      <w:jc w:val="center"/>
    </w:pPr>
    <w:rPr>
      <w:sz w:val="30"/>
      <w:szCs w:val="30"/>
    </w:rPr>
  </w:style>
  <w:style w:styleId="16" w:type="paragraph">
    <w:name w:val="Title"/>
    <w:basedOn w:val="1"/>
    <w:next w:val="3"/>
    <w:qFormat/>
    <w:uiPriority w:val="0"/>
    <w:pPr>
      <w:keepNext/>
      <w:keepLines/>
      <w:spacing w:after="240" w:before="480"/>
      <w:jc w:val="center"/>
    </w:pPr>
    <w:rPr>
      <w:rFonts w:asciiTheme="majorHAnsi" w:cstheme="majorBidi" w:eastAsiaTheme="majorEastAsia" w:hAnsiTheme="majorHAnsi"/>
      <w:b/>
      <w:bCs/>
      <w:color w:themeColor="accent1" w:themeShade="B5" w:val="335B8A"/>
      <w:sz w:val="36"/>
      <w:szCs w:val="36"/>
    </w:rPr>
  </w:style>
  <w:style w:styleId="17" w:type="paragraph">
    <w:name w:val="footnote text"/>
    <w:basedOn w:val="1"/>
    <w:unhideWhenUsed/>
    <w:qFormat/>
    <w:uiPriority w:val="9"/>
  </w:style>
  <w:style w:styleId="20" w:type="character">
    <w:name w:val="Hyperlink"/>
    <w:basedOn w:val="21"/>
    <w:uiPriority w:val="0"/>
    <w:rPr>
      <w:color w:themeColor="accent1" w:val="4F81BD"/>
    </w:rPr>
  </w:style>
  <w:style w:customStyle="1" w:styleId="21" w:type="character">
    <w:name w:val="Body Text Char"/>
    <w:basedOn w:val="19"/>
    <w:link w:val="3"/>
    <w:qFormat/>
    <w:uiPriority w:val="0"/>
  </w:style>
  <w:style w:styleId="22" w:type="character">
    <w:name w:val="footnote reference"/>
    <w:basedOn w:val="21"/>
    <w:qFormat/>
    <w:uiPriority w:val="0"/>
    <w:rPr>
      <w:vertAlign w:val="superscript"/>
    </w:rPr>
  </w:style>
  <w:style w:customStyle="1" w:styleId="23" w:type="paragraph">
    <w:name w:val="First Paragraph"/>
    <w:basedOn w:val="3"/>
    <w:next w:val="3"/>
    <w:qFormat/>
    <w:uiPriority w:val="0"/>
  </w:style>
  <w:style w:customStyle="1" w:styleId="24" w:type="paragraph">
    <w:name w:val="Compact"/>
    <w:basedOn w:val="3"/>
    <w:qFormat/>
    <w:uiPriority w:val="0"/>
    <w:pPr>
      <w:spacing w:after="36" w:before="36"/>
    </w:pPr>
  </w:style>
  <w:style w:customStyle="1" w:styleId="25" w:type="paragraph">
    <w:name w:val="Author"/>
    <w:next w:val="3"/>
    <w:qFormat/>
    <w:uiPriority w:val="0"/>
    <w:pPr>
      <w:keepNext/>
      <w:keepLines/>
      <w:spacing w:after="200"/>
      <w:jc w:val="center"/>
    </w:pPr>
    <w:rPr>
      <w:rFonts w:asciiTheme="minorHAnsi" w:cstheme="minorBidi" w:eastAsiaTheme="minorHAnsi" w:hAnsiTheme="minorHAnsi"/>
      <w:sz w:val="24"/>
      <w:szCs w:val="24"/>
      <w:lang w:bidi="ar-SA" w:eastAsia="en-US" w:val="en-US"/>
    </w:rPr>
  </w:style>
  <w:style w:customStyle="1" w:styleId="26" w:type="paragraph">
    <w:name w:val="Abstract"/>
    <w:basedOn w:val="1"/>
    <w:next w:val="3"/>
    <w:qFormat/>
    <w:uiPriority w:val="0"/>
    <w:pPr>
      <w:keepNext/>
      <w:keepLines/>
      <w:spacing w:after="300" w:before="300"/>
    </w:pPr>
    <w:rPr>
      <w:sz w:val="20"/>
      <w:szCs w:val="20"/>
    </w:rPr>
  </w:style>
  <w:style w:customStyle="1" w:styleId="27" w:type="paragraph">
    <w:name w:val="Bibliography"/>
    <w:basedOn w:val="1"/>
    <w:qFormat/>
    <w:uiPriority w:val="0"/>
  </w:style>
  <w:style w:customStyle="1" w:styleId="28" w:type="table">
    <w:name w:val="Table"/>
    <w:semiHidden/>
    <w:unhideWhenUsed/>
    <w:qFormat/>
    <w:uiPriority w:val="0"/>
    <w:tblPr>
      <w:tblCellMar>
        <w:top w:type="dxa" w:w="0"/>
        <w:left w:type="dxa" w:w="108"/>
        <w:bottom w:type="dxa" w:w="0"/>
        <w:right w:type="dxa" w:w="108"/>
      </w:tblCellMar>
    </w:tblPr>
  </w:style>
  <w:style w:customStyle="1" w:styleId="29" w:type="paragraph">
    <w:name w:val="Definition Term"/>
    <w:basedOn w:val="1"/>
    <w:next w:val="30"/>
    <w:uiPriority w:val="0"/>
    <w:pPr>
      <w:keepNext/>
      <w:keepLines/>
      <w:spacing w:after="0"/>
    </w:pPr>
    <w:rPr>
      <w:b/>
    </w:rPr>
  </w:style>
  <w:style w:customStyle="1" w:styleId="30" w:type="paragraph">
    <w:name w:val="Definition"/>
    <w:basedOn w:val="1"/>
    <w:uiPriority w:val="0"/>
  </w:style>
  <w:style w:customStyle="1" w:styleId="31" w:type="paragraph">
    <w:name w:val="Table Caption"/>
    <w:basedOn w:val="12"/>
    <w:uiPriority w:val="0"/>
    <w:pPr>
      <w:keepNext/>
    </w:pPr>
  </w:style>
  <w:style w:customStyle="1" w:styleId="32" w:type="paragraph">
    <w:name w:val="Image Caption"/>
    <w:basedOn w:val="12"/>
    <w:uiPriority w:val="0"/>
  </w:style>
  <w:style w:customStyle="1" w:styleId="33" w:type="paragraph">
    <w:name w:val="Figure"/>
    <w:basedOn w:val="1"/>
    <w:qFormat/>
    <w:uiPriority w:val="0"/>
  </w:style>
  <w:style w:customStyle="1" w:styleId="34" w:type="paragraph">
    <w:name w:val="Captioned Figure"/>
    <w:basedOn w:val="33"/>
    <w:qFormat/>
    <w:uiPriority w:val="0"/>
    <w:pPr>
      <w:keepNext/>
    </w:pPr>
  </w:style>
  <w:style w:customStyle="1" w:styleId="35" w:type="character">
    <w:name w:val="Verbatim Char"/>
    <w:basedOn w:val="21"/>
    <w:link w:val="36"/>
    <w:qFormat/>
    <w:uiPriority w:val="0"/>
    <w:rPr>
      <w:rFonts w:ascii="Consolas" w:hAnsi="Consolas"/>
      <w:sz w:val="22"/>
    </w:rPr>
  </w:style>
  <w:style w:customStyle="1" w:styleId="36" w:type="paragraph">
    <w:name w:val="Source Code"/>
    <w:basedOn w:val="1"/>
    <w:link w:val="35"/>
    <w:qFormat/>
    <w:uiPriority w:val="0"/>
    <w:pPr>
      <w:wordWrap w:val="0"/>
    </w:pPr>
  </w:style>
  <w:style w:customStyle="1" w:styleId="37" w:type="paragraph">
    <w:name w:val="TOC Heading"/>
    <w:basedOn w:val="2"/>
    <w:next w:val="3"/>
    <w:unhideWhenUsed/>
    <w:qFormat/>
    <w:uiPriority w:val="39"/>
    <w:pPr>
      <w:spacing w:before="240" w:line="259" w:lineRule="auto"/>
      <w:outlineLvl w:val="9"/>
    </w:pPr>
    <w:rPr>
      <w:rFonts w:asciiTheme="majorHAnsi" w:cstheme="majorBidi" w:eastAsiaTheme="majorEastAsia" w:hAnsiTheme="majorHAnsi"/>
      <w:b w:val="0"/>
      <w:bCs w:val="0"/>
      <w:color w:themeColor="accent1" w:themeShade="BF" w:val="366091"/>
    </w:rPr>
  </w:style>
  <w:style w:customStyle="1" w:styleId="38" w:type="character">
    <w:name w:val="KeywordTok"/>
    <w:basedOn w:val="35"/>
    <w:uiPriority w:val="0"/>
    <w:rPr>
      <w:b/>
      <w:color w:val="007020"/>
    </w:rPr>
  </w:style>
  <w:style w:customStyle="1" w:styleId="39" w:type="character">
    <w:name w:val="DataTypeTok"/>
    <w:basedOn w:val="35"/>
    <w:uiPriority w:val="0"/>
    <w:rPr>
      <w:color w:val="902000"/>
    </w:rPr>
  </w:style>
  <w:style w:customStyle="1" w:styleId="40" w:type="character">
    <w:name w:val="DecValTok"/>
    <w:basedOn w:val="35"/>
    <w:qFormat/>
    <w:uiPriority w:val="0"/>
    <w:rPr>
      <w:color w:val="40A070"/>
    </w:rPr>
  </w:style>
  <w:style w:customStyle="1" w:styleId="41" w:type="character">
    <w:name w:val="BaseNTok"/>
    <w:basedOn w:val="35"/>
    <w:uiPriority w:val="0"/>
    <w:rPr>
      <w:color w:val="40A070"/>
    </w:rPr>
  </w:style>
  <w:style w:customStyle="1" w:styleId="42" w:type="character">
    <w:name w:val="FloatTok"/>
    <w:basedOn w:val="35"/>
    <w:qFormat/>
    <w:uiPriority w:val="0"/>
    <w:rPr>
      <w:color w:val="40A070"/>
    </w:rPr>
  </w:style>
  <w:style w:customStyle="1" w:styleId="43" w:type="character">
    <w:name w:val="ConstantTok"/>
    <w:basedOn w:val="35"/>
    <w:uiPriority w:val="0"/>
    <w:rPr>
      <w:color w:val="880000"/>
    </w:rPr>
  </w:style>
  <w:style w:customStyle="1" w:styleId="44" w:type="character">
    <w:name w:val="CharTok"/>
    <w:basedOn w:val="35"/>
    <w:uiPriority w:val="0"/>
    <w:rPr>
      <w:color w:val="4070A0"/>
    </w:rPr>
  </w:style>
  <w:style w:customStyle="1" w:styleId="45" w:type="character">
    <w:name w:val="SpecialCharTok"/>
    <w:basedOn w:val="35"/>
    <w:qFormat/>
    <w:uiPriority w:val="0"/>
    <w:rPr>
      <w:color w:val="4070A0"/>
    </w:rPr>
  </w:style>
  <w:style w:customStyle="1" w:styleId="46" w:type="character">
    <w:name w:val="StringTok"/>
    <w:basedOn w:val="35"/>
    <w:uiPriority w:val="0"/>
    <w:rPr>
      <w:color w:val="4070A0"/>
    </w:rPr>
  </w:style>
  <w:style w:customStyle="1" w:styleId="47" w:type="character">
    <w:name w:val="VerbatimStringTok"/>
    <w:basedOn w:val="35"/>
    <w:qFormat/>
    <w:uiPriority w:val="0"/>
    <w:rPr>
      <w:color w:val="4070A0"/>
    </w:rPr>
  </w:style>
  <w:style w:customStyle="1" w:styleId="48" w:type="character">
    <w:name w:val="SpecialStringTok"/>
    <w:basedOn w:val="35"/>
    <w:uiPriority w:val="0"/>
    <w:rPr>
      <w:color w:val="BB6688"/>
    </w:rPr>
  </w:style>
  <w:style w:customStyle="1" w:styleId="49" w:type="character">
    <w:name w:val="ImportTok"/>
    <w:basedOn w:val="35"/>
    <w:qFormat/>
    <w:uiPriority w:val="0"/>
  </w:style>
  <w:style w:customStyle="1" w:styleId="50" w:type="character">
    <w:name w:val="CommentTok"/>
    <w:basedOn w:val="35"/>
    <w:qFormat/>
    <w:uiPriority w:val="0"/>
    <w:rPr>
      <w:i/>
      <w:color w:val="60A0B0"/>
    </w:rPr>
  </w:style>
  <w:style w:customStyle="1" w:styleId="51" w:type="character">
    <w:name w:val="DocumentationTok"/>
    <w:basedOn w:val="35"/>
    <w:uiPriority w:val="0"/>
    <w:rPr>
      <w:i/>
      <w:color w:val="BA2121"/>
    </w:rPr>
  </w:style>
  <w:style w:customStyle="1" w:styleId="52" w:type="character">
    <w:name w:val="AnnotationTok"/>
    <w:basedOn w:val="35"/>
    <w:uiPriority w:val="0"/>
    <w:rPr>
      <w:b/>
      <w:i/>
      <w:color w:val="60A0B0"/>
    </w:rPr>
  </w:style>
  <w:style w:customStyle="1" w:styleId="53" w:type="character">
    <w:name w:val="CommentVarTok"/>
    <w:basedOn w:val="35"/>
    <w:qFormat/>
    <w:uiPriority w:val="0"/>
    <w:rPr>
      <w:b/>
      <w:i/>
      <w:color w:val="60A0B0"/>
    </w:rPr>
  </w:style>
  <w:style w:customStyle="1" w:styleId="54" w:type="character">
    <w:name w:val="OtherTok"/>
    <w:basedOn w:val="35"/>
    <w:qFormat/>
    <w:uiPriority w:val="0"/>
    <w:rPr>
      <w:color w:val="007020"/>
    </w:rPr>
  </w:style>
  <w:style w:customStyle="1" w:styleId="55" w:type="character">
    <w:name w:val="FunctionTok"/>
    <w:basedOn w:val="35"/>
    <w:uiPriority w:val="0"/>
    <w:rPr>
      <w:color w:val="06287E"/>
    </w:rPr>
  </w:style>
  <w:style w:customStyle="1" w:styleId="56" w:type="character">
    <w:name w:val="VariableTok"/>
    <w:basedOn w:val="35"/>
    <w:qFormat/>
    <w:uiPriority w:val="0"/>
    <w:rPr>
      <w:color w:val="19177C"/>
    </w:rPr>
  </w:style>
  <w:style w:customStyle="1" w:styleId="57" w:type="character">
    <w:name w:val="ControlFlowTok"/>
    <w:basedOn w:val="35"/>
    <w:qFormat/>
    <w:uiPriority w:val="0"/>
    <w:rPr>
      <w:b/>
      <w:color w:val="007020"/>
    </w:rPr>
  </w:style>
  <w:style w:customStyle="1" w:styleId="58" w:type="character">
    <w:name w:val="OperatorTok"/>
    <w:basedOn w:val="35"/>
    <w:uiPriority w:val="0"/>
    <w:rPr>
      <w:color w:val="666666"/>
    </w:rPr>
  </w:style>
  <w:style w:customStyle="1" w:styleId="59" w:type="character">
    <w:name w:val="BuiltInTok"/>
    <w:basedOn w:val="35"/>
    <w:uiPriority w:val="0"/>
  </w:style>
  <w:style w:customStyle="1" w:styleId="60" w:type="character">
    <w:name w:val="ExtensionTok"/>
    <w:basedOn w:val="35"/>
    <w:uiPriority w:val="0"/>
  </w:style>
  <w:style w:customStyle="1" w:styleId="61" w:type="character">
    <w:name w:val="PreprocessorTok"/>
    <w:basedOn w:val="35"/>
    <w:qFormat/>
    <w:uiPriority w:val="0"/>
    <w:rPr>
      <w:color w:val="BC7A00"/>
    </w:rPr>
  </w:style>
  <w:style w:customStyle="1" w:styleId="62" w:type="character">
    <w:name w:val="AttributeTok"/>
    <w:basedOn w:val="35"/>
    <w:qFormat/>
    <w:uiPriority w:val="0"/>
    <w:rPr>
      <w:color w:val="7D9029"/>
    </w:rPr>
  </w:style>
  <w:style w:customStyle="1" w:styleId="63" w:type="character">
    <w:name w:val="RegionMarkerTok"/>
    <w:basedOn w:val="35"/>
    <w:uiPriority w:val="0"/>
  </w:style>
  <w:style w:customStyle="1" w:styleId="64" w:type="character">
    <w:name w:val="InformationTok"/>
    <w:basedOn w:val="35"/>
    <w:qFormat/>
    <w:uiPriority w:val="0"/>
    <w:rPr>
      <w:b/>
      <w:i/>
      <w:color w:val="60A0B0"/>
    </w:rPr>
  </w:style>
  <w:style w:customStyle="1" w:styleId="65" w:type="character">
    <w:name w:val="WarningTok"/>
    <w:basedOn w:val="35"/>
    <w:uiPriority w:val="0"/>
    <w:rPr>
      <w:b/>
      <w:i/>
      <w:color w:val="60A0B0"/>
    </w:rPr>
  </w:style>
  <w:style w:customStyle="1" w:styleId="66" w:type="character">
    <w:name w:val="AlertTok"/>
    <w:basedOn w:val="35"/>
    <w:qFormat/>
    <w:uiPriority w:val="0"/>
    <w:rPr>
      <w:b/>
      <w:color w:val="FF0000"/>
    </w:rPr>
  </w:style>
  <w:style w:customStyle="1" w:styleId="67" w:type="character">
    <w:name w:val="ErrorTok"/>
    <w:basedOn w:val="35"/>
    <w:uiPriority w:val="0"/>
    <w:rPr>
      <w:b/>
      <w:color w:val="FF0000"/>
    </w:rPr>
  </w:style>
  <w:style w:customStyle="1" w:styleId="68" w:type="character">
    <w:name w:val="NormalTok"/>
    <w:basedOn w:val="35"/>
    <w:uiPriority w:val="0"/>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Pages>
  <Words>1754</Words>
  <Characters>1897</Characters>
  <Lines>12</Lines>
  <Paragraphs>8</Paragraphs>
  <TotalTime>7</TotalTime>
  <ScaleCrop>false</ScaleCrop>
  <LinksUpToDate>false</LinksUpToDate>
  <CharactersWithSpaces>1914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2026-05-29T08:29:56Z</dcterms:created>
  <dcterms:modified xsi:type="dcterms:W3CDTF">2026-05-29T08:29:56Z</dcterms:modified>
</cp:coreProperties>
</file>

<file path=docProps/custom.xml><?xml version="1.0" encoding="utf-8"?>
<Properties xmlns="http://schemas.openxmlformats.org/officeDocument/2006/custom-properties" xmlns:vt="http://schemas.openxmlformats.org/officeDocument/2006/docPropsVTypes"/>
</file>