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软件著作权登记申请表（智能楼宇智能维护管理系统 buildingos.maintenance）</w:t>
      </w:r>
    </w:p>
    <w:p>
      <w:pPr>
        <w:pStyle w:val="Heading2"/>
      </w:pPr>
      <w:r>
        <w:t>软件基本信息</w:t>
      </w:r>
    </w:p>
    <w:p>
      <w:r>
        <w:rPr>
          <w:rFonts w:ascii="宋体" w:hAnsi="宋体" w:eastAsia="宋体"/>
          <w:b/>
          <w:sz w:val="21"/>
        </w:rPr>
        <w:t>软件全称：</w:t>
      </w:r>
      <w:r>
        <w:rPr>
          <w:rFonts w:ascii="宋体" w:hAnsi="宋体" w:eastAsia="宋体"/>
          <w:sz w:val="21"/>
        </w:rPr>
        <w:t>智能楼宇智能维护管理系统</w:t>
      </w:r>
    </w:p>
    <w:p>
      <w:r>
        <w:rPr>
          <w:rFonts w:ascii="宋体" w:hAnsi="宋体" w:eastAsia="宋体"/>
          <w:b/>
          <w:sz w:val="21"/>
        </w:rPr>
        <w:t>软件简称：</w:t>
      </w:r>
      <w:r>
        <w:rPr>
          <w:rFonts w:ascii="宋体" w:hAnsi="宋体" w:eastAsia="宋体"/>
          <w:sz w:val="21"/>
        </w:rPr>
        <w:t>buildingos.maintenance</w:t>
      </w:r>
    </w:p>
    <w:p>
      <w:r>
        <w:rPr>
          <w:rFonts w:ascii="宋体" w:hAnsi="宋体" w:eastAsia="宋体"/>
          <w:b/>
          <w:sz w:val="21"/>
        </w:rPr>
        <w:t>版本号：</w:t>
      </w:r>
      <w:r>
        <w:rPr>
          <w:rFonts w:ascii="宋体" w:hAnsi="宋体" w:eastAsia="宋体"/>
          <w:sz w:val="21"/>
        </w:rPr>
        <w:t>V1.0</w:t>
      </w:r>
    </w:p>
    <w:p>
      <w:r>
        <w:rPr>
          <w:rFonts w:ascii="宋体" w:hAnsi="宋体" w:eastAsia="宋体"/>
          <w:b/>
          <w:sz w:val="21"/>
        </w:rPr>
        <w:t>软件作品说明：</w:t>
      </w:r>
      <w:r>
        <w:rPr>
          <w:rFonts w:ascii="宋体" w:hAnsi="宋体" w:eastAsia="宋体"/>
          <w:sz w:val="21"/>
        </w:rPr>
        <w:t>原创</w:t>
      </w:r>
    </w:p>
    <w:p>
      <w:pPr>
        <w:pStyle w:val="Heading2"/>
      </w:pPr>
      <w:r>
        <w:t>辅助信息</w:t>
      </w:r>
    </w:p>
    <w:p>
      <w:r>
        <w:rPr>
          <w:rFonts w:ascii="宋体" w:hAnsi="宋体" w:eastAsia="宋体"/>
          <w:b/>
          <w:sz w:val="21"/>
        </w:rPr>
        <w:t>开发完成日期：</w:t>
      </w:r>
      <w:r>
        <w:rPr>
          <w:rFonts w:ascii="宋体" w:hAnsi="宋体" w:eastAsia="宋体"/>
          <w:sz w:val="21"/>
        </w:rPr>
        <w:t>2025年09月30日</w:t>
      </w:r>
    </w:p>
    <w:p>
      <w:r>
        <w:rPr>
          <w:rFonts w:ascii="宋体" w:hAnsi="宋体" w:eastAsia="宋体"/>
          <w:b/>
          <w:sz w:val="21"/>
        </w:rPr>
        <w:t>发表情况：</w:t>
      </w:r>
      <w:r>
        <w:rPr>
          <w:rFonts w:ascii="宋体" w:hAnsi="宋体" w:eastAsia="宋体"/>
          <w:sz w:val="21"/>
        </w:rPr>
        <w:t>已发表</w:t>
      </w:r>
    </w:p>
    <w:p>
      <w:r>
        <w:rPr>
          <w:rFonts w:ascii="宋体" w:hAnsi="宋体" w:eastAsia="宋体"/>
          <w:b/>
          <w:sz w:val="21"/>
        </w:rPr>
        <w:t>发表时间：</w:t>
      </w:r>
      <w:r>
        <w:rPr>
          <w:rFonts w:ascii="宋体" w:hAnsi="宋体" w:eastAsia="宋体"/>
          <w:sz w:val="21"/>
        </w:rPr>
        <w:t>2025年10月31日</w:t>
      </w:r>
    </w:p>
    <w:p>
      <w:r>
        <w:rPr>
          <w:rFonts w:ascii="宋体" w:hAnsi="宋体" w:eastAsia="宋体"/>
          <w:b/>
          <w:sz w:val="21"/>
        </w:rPr>
        <w:t>发表城市：</w:t>
      </w:r>
      <w:r>
        <w:rPr>
          <w:rFonts w:ascii="宋体" w:hAnsi="宋体" w:eastAsia="宋体"/>
          <w:sz w:val="21"/>
        </w:rPr>
        <w:t>成都</w:t>
      </w:r>
    </w:p>
    <w:p>
      <w:r>
        <w:rPr>
          <w:rFonts w:ascii="宋体" w:hAnsi="宋体" w:eastAsia="宋体"/>
          <w:b/>
          <w:sz w:val="21"/>
        </w:rPr>
        <w:t>开发方式：</w:t>
      </w:r>
      <w:r>
        <w:rPr>
          <w:rFonts w:ascii="宋体" w:hAnsi="宋体" w:eastAsia="宋体"/>
          <w:sz w:val="21"/>
        </w:rPr>
        <w:t>独立开发</w:t>
      </w:r>
    </w:p>
    <w:p>
      <w:pPr>
        <w:pStyle w:val="Heading2"/>
      </w:pPr>
      <w:r>
        <w:t>著作权人</w:t>
      </w:r>
    </w:p>
    <w:p>
      <w:r>
        <w:rPr>
          <w:rFonts w:ascii="宋体" w:hAnsi="宋体" w:eastAsia="宋体"/>
          <w:b/>
          <w:sz w:val="21"/>
        </w:rPr>
        <w:t>姓名或名称：</w:t>
      </w:r>
      <w:r>
        <w:rPr>
          <w:rFonts w:ascii="宋体" w:hAnsi="宋体" w:eastAsia="宋体"/>
          <w:sz w:val="21"/>
        </w:rPr>
        <w:t>成都极企科技有限公司</w:t>
      </w:r>
    </w:p>
    <w:p>
      <w:r>
        <w:rPr>
          <w:rFonts w:ascii="宋体" w:hAnsi="宋体" w:eastAsia="宋体"/>
          <w:b/>
          <w:sz w:val="21"/>
        </w:rPr>
        <w:t>类别：</w:t>
      </w:r>
      <w:r>
        <w:rPr>
          <w:rFonts w:ascii="宋体" w:hAnsi="宋体" w:eastAsia="宋体"/>
          <w:sz w:val="21"/>
        </w:rPr>
        <w:t>企业法人</w:t>
      </w:r>
    </w:p>
    <w:p>
      <w:r>
        <w:rPr>
          <w:rFonts w:ascii="宋体" w:hAnsi="宋体" w:eastAsia="宋体"/>
          <w:b/>
          <w:sz w:val="21"/>
        </w:rPr>
        <w:t>证件类型：</w:t>
      </w:r>
      <w:r>
        <w:rPr>
          <w:rFonts w:ascii="宋体" w:hAnsi="宋体" w:eastAsia="宋体"/>
          <w:sz w:val="21"/>
        </w:rPr>
        <w:t>营业执照</w:t>
      </w:r>
    </w:p>
    <w:p>
      <w:r>
        <w:rPr>
          <w:rFonts w:ascii="宋体" w:hAnsi="宋体" w:eastAsia="宋体"/>
          <w:b/>
          <w:sz w:val="21"/>
        </w:rPr>
        <w:t>证件号码：</w:t>
      </w:r>
      <w:r>
        <w:rPr>
          <w:rFonts w:ascii="宋体" w:hAnsi="宋体" w:eastAsia="宋体"/>
          <w:sz w:val="21"/>
        </w:rPr>
        <w:t>待填写</w:t>
      </w:r>
    </w:p>
    <w:p>
      <w:r>
        <w:rPr>
          <w:rFonts w:ascii="宋体" w:hAnsi="宋体" w:eastAsia="宋体"/>
          <w:b/>
          <w:sz w:val="21"/>
        </w:rPr>
        <w:t>国籍：</w:t>
      </w:r>
      <w:r>
        <w:rPr>
          <w:rFonts w:ascii="宋体" w:hAnsi="宋体" w:eastAsia="宋体"/>
          <w:sz w:val="21"/>
        </w:rPr>
        <w:t>中国</w:t>
      </w:r>
    </w:p>
    <w:p>
      <w:r>
        <w:rPr>
          <w:rFonts w:ascii="宋体" w:hAnsi="宋体" w:eastAsia="宋体"/>
          <w:b/>
          <w:sz w:val="21"/>
        </w:rPr>
        <w:t>省份/城市：</w:t>
      </w:r>
      <w:r>
        <w:rPr>
          <w:rFonts w:ascii="宋体" w:hAnsi="宋体" w:eastAsia="宋体"/>
          <w:sz w:val="21"/>
        </w:rPr>
        <w:t>成都</w:t>
      </w:r>
    </w:p>
    <w:p>
      <w:pPr>
        <w:pStyle w:val="Heading2"/>
      </w:pPr>
      <w:r>
        <w:t>软件详细信息</w:t>
      </w:r>
    </w:p>
    <w:p>
      <w:pPr>
        <w:pStyle w:val="Heading3"/>
      </w:pPr>
      <w:r>
        <w:t>硬件环境</w:t>
      </w:r>
    </w:p>
    <w:p>
      <w:pPr>
        <w:ind w:left="850"/>
      </w:pPr>
      <w:r>
        <w:rPr>
          <w:rFonts w:ascii="宋体" w:hAnsi="宋体" w:eastAsia="宋体"/>
          <w:sz w:val="21"/>
        </w:rPr>
        <w:t>PC机：Intel Core i7或同等规格处理器，RAM≥16GB，硬盘≥512GB。</w:t>
      </w:r>
    </w:p>
    <w:p>
      <w:pPr>
        <w:ind w:left="850"/>
      </w:pPr>
      <w:r>
        <w:rPr>
          <w:rFonts w:ascii="宋体" w:hAnsi="宋体" w:eastAsia="宋体"/>
          <w:sz w:val="21"/>
        </w:rPr>
        <w:t>服务端：x86 8核，RAM≥16GB，SSD≥512GB；或云主机同等规格。</w:t>
        <w:br/>
        <w:t>边缘网关：x86 四核，RAM≥8GB，SSD≥128GB，千兆以太网，支持 MQTT/HTTP。</w:t>
        <w:br/>
        <w:t>客户端：普通办公PC（i5/8GB/256GB），支持 Chrome/Edge 浏览器。移动端支持 NFC 标签读取。</w:t>
        <w:br/>
        <w:t>网络与供电：千兆交换机、UPS≥1KVA、PoE（如需）。</w:t>
      </w:r>
    </w:p>
    <w:p>
      <w:pPr>
        <w:pStyle w:val="Heading3"/>
      </w:pPr>
      <w:r>
        <w:t>软件环境</w:t>
      </w:r>
    </w:p>
    <w:p>
      <w:pPr>
        <w:ind w:left="850"/>
      </w:pPr>
      <w:r>
        <w:rPr>
          <w:rFonts w:ascii="宋体" w:hAnsi="宋体" w:eastAsia="宋体"/>
          <w:sz w:val="21"/>
        </w:rPr>
      </w:r>
    </w:p>
    <w:p>
      <w:r>
        <w:rPr>
          <w:rFonts w:ascii="宋体" w:hAnsi="宋体" w:eastAsia="宋体"/>
          <w:b/>
          <w:sz w:val="21"/>
        </w:rPr>
        <w:t>开发该软件的操作系统：</w:t>
      </w:r>
      <w:r>
        <w:rPr>
          <w:rFonts w:ascii="宋体" w:hAnsi="宋体" w:eastAsia="宋体"/>
          <w:sz w:val="21"/>
        </w:rPr>
        <w:t>Windows 11 / macOS 14</w:t>
      </w:r>
    </w:p>
    <w:p>
      <w:r>
        <w:rPr>
          <w:rFonts w:ascii="宋体" w:hAnsi="宋体" w:eastAsia="宋体"/>
          <w:b/>
          <w:sz w:val="21"/>
        </w:rPr>
        <w:t>软件开发环境/开发工具：</w:t>
      </w:r>
      <w:r>
        <w:rPr>
          <w:rFonts w:ascii="宋体" w:hAnsi="宋体" w:eastAsia="宋体"/>
          <w:sz w:val="21"/>
        </w:rPr>
        <w:t>Node.js 20.x、Vite、Vue 3、TypeScript 5.x、NestJS 10.x、pnpm/npm</w:t>
      </w:r>
    </w:p>
    <w:p>
      <w:r>
        <w:rPr>
          <w:rFonts w:ascii="宋体" w:hAnsi="宋体" w:eastAsia="宋体"/>
          <w:b/>
          <w:sz w:val="21"/>
        </w:rPr>
        <w:t>该软件的运行平台/操作系统：</w:t>
      </w:r>
      <w:r>
        <w:rPr>
          <w:rFonts w:ascii="宋体" w:hAnsi="宋体" w:eastAsia="宋体"/>
          <w:sz w:val="21"/>
        </w:rPr>
        <w:t>Linux（Ubuntu 22.04）</w:t>
      </w:r>
    </w:p>
    <w:p>
      <w:r>
        <w:rPr>
          <w:rFonts w:ascii="宋体" w:hAnsi="宋体" w:eastAsia="宋体"/>
          <w:b/>
          <w:sz w:val="21"/>
        </w:rPr>
        <w:t>软件运行支撑环境/支持软件：</w:t>
      </w:r>
      <w:r>
        <w:rPr>
          <w:rFonts w:ascii="宋体" w:hAnsi="宋体" w:eastAsia="宋体"/>
          <w:sz w:val="21"/>
        </w:rPr>
        <w:t>Nginx、PostgreSQL 15、Redis 7、MQTT Broker（EMQX/Mosquitto）、Docker</w:t>
      </w:r>
    </w:p>
    <w:p>
      <w:pPr>
        <w:pStyle w:val="Heading3"/>
      </w:pPr>
      <w:r>
        <w:t>编程语言</w:t>
      </w:r>
    </w:p>
    <w:p>
      <w:r>
        <w:rPr>
          <w:rFonts w:ascii="宋体" w:hAnsi="宋体" w:eastAsia="宋体"/>
          <w:b/>
          <w:sz w:val="21"/>
        </w:rPr>
        <w:t>编程语言：</w:t>
      </w:r>
      <w:r>
        <w:rPr>
          <w:rFonts w:ascii="宋体" w:hAnsi="宋体" w:eastAsia="宋体"/>
          <w:sz w:val="21"/>
        </w:rPr>
        <w:t>TypeScript 5.x</w:t>
      </w:r>
    </w:p>
    <w:p>
      <w:r>
        <w:rPr>
          <w:rFonts w:ascii="宋体" w:hAnsi="宋体" w:eastAsia="宋体"/>
          <w:b/>
          <w:sz w:val="21"/>
        </w:rPr>
        <w:t>源程序量：</w:t>
      </w:r>
      <w:r>
        <w:rPr>
          <w:rFonts w:ascii="宋体" w:hAnsi="宋体" w:eastAsia="宋体"/>
          <w:sz w:val="21"/>
        </w:rPr>
        <w:t>约3500行</w:t>
      </w:r>
    </w:p>
    <w:p>
      <w:pPr>
        <w:pStyle w:val="Heading3"/>
      </w:pPr>
      <w:r>
        <w:t>开发目的</w:t>
      </w:r>
    </w:p>
    <w:p>
      <w:r>
        <w:rPr>
          <w:rFonts w:ascii="宋体" w:hAnsi="宋体" w:eastAsia="宋体"/>
          <w:b/>
          <w:sz w:val="21"/>
        </w:rPr>
        <w:t>内容：</w:t>
      </w:r>
      <w:r>
        <w:rPr>
          <w:rFonts w:ascii="宋体" w:hAnsi="宋体" w:eastAsia="宋体"/>
          <w:sz w:val="21"/>
        </w:rPr>
        <w:t>实现园区设施维护工单全生命周期管理、设备台账维保追溯与巡检任务自动化调度。</w:t>
      </w:r>
    </w:p>
    <w:p>
      <w:pPr>
        <w:pStyle w:val="Heading3"/>
      </w:pPr>
      <w:r>
        <w:t>面向领域/行业</w:t>
      </w:r>
    </w:p>
    <w:p>
      <w:r>
        <w:rPr>
          <w:rFonts w:ascii="宋体" w:hAnsi="宋体" w:eastAsia="宋体"/>
          <w:b/>
          <w:sz w:val="21"/>
        </w:rPr>
        <w:t>内容：</w:t>
      </w:r>
      <w:r>
        <w:rPr>
          <w:rFonts w:ascii="宋体" w:hAnsi="宋体" w:eastAsia="宋体"/>
          <w:sz w:val="21"/>
        </w:rPr>
        <w:t>智慧楼宇、园区设施维护与工单调度管理行业。</w:t>
      </w:r>
    </w:p>
    <w:p>
      <w:pPr>
        <w:pStyle w:val="Heading3"/>
      </w:pPr>
      <w:r>
        <w:t>软件主要功能</w:t>
      </w:r>
    </w:p>
    <w:p>
      <w:pPr>
        <w:ind w:left="850"/>
      </w:pPr>
      <w:r>
        <w:rPr>
          <w:rFonts w:ascii="宋体" w:hAnsi="宋体" w:eastAsia="宋体"/>
          <w:sz w:val="21"/>
        </w:rPr>
        <w:t>本软件实现园区设施维护工单全生命周期管理，包括工单创建（手动/扫码/告警/巡检四种来源）、六阶段状态流转（待派发→待接单→处置中→待验收→已归档/已取消）与超时自动升级告警；可视化流程编辑器支持自定义审批节点序列与节点处理人指派，内置派发/接单/处置/验收/归档五种节点类型；多级树形服务类型字典管理，支持模板-分类两级嵌套与排序；SLA时效规则按一般/紧急/非常紧急三优先级分别设置响应/挂起/完成超时，支持全局流程时效与节点级时效；工单统计看板提供新增工单、满意度、响应率、完成率、手动报单占比五维度摘要卡片与ECharts趋势图；分配规则引擎按工单类型-区域-楼层-等级四级匹配自动指派处理人、处理小组、抄送人和确认人；巡检路线管理支持自定义检查点NFC编码与周期规则配置，按每日/每周/每月定时自动生成巡检工单；二维码管理按区域/楼层/房间粒度生成报修二维码并追踪扫描记录；设备台账与工单深度关联，支持设备全生命周期维保历史追溯。</w:t>
      </w:r>
    </w:p>
    <w:p>
      <w:pPr>
        <w:pStyle w:val="Heading3"/>
      </w:pPr>
      <w:r>
        <w:t>软件主要技术特点</w:t>
      </w:r>
    </w:p>
    <w:p>
      <w:pPr>
        <w:ind w:left="850"/>
      </w:pPr>
      <w:r>
        <w:rPr>
          <w:rFonts w:ascii="宋体" w:hAnsi="宋体" w:eastAsia="宋体"/>
          <w:sz w:val="21"/>
        </w:rPr>
      </w:r>
    </w:p>
    <w:p>
      <w:r>
        <w:rPr>
          <w:rFonts w:ascii="宋体" w:hAnsi="宋体" w:eastAsia="宋体"/>
          <w:b/>
          <w:sz w:val="21"/>
        </w:rPr>
        <w:t>分类：</w:t>
      </w:r>
      <w:r>
        <w:rPr>
          <w:rFonts w:ascii="宋体" w:hAnsi="宋体" w:eastAsia="宋体"/>
          <w:sz w:val="21"/>
        </w:rPr>
        <w:t>物联网软件 智慧城市软件 企业管理软件</w:t>
      </w:r>
    </w:p>
    <w:p>
      <w:pPr>
        <w:ind w:left="850"/>
      </w:pPr>
      <w:r>
        <w:rPr>
          <w:rFonts w:ascii="宋体" w:hAnsi="宋体" w:eastAsia="宋体"/>
          <w:sz w:val="21"/>
        </w:rPr>
        <w:t>采用Vue3+NestJS+TypeScript微服务架构；基于MQTT协议实现设备告警与工单系统的实时联动；内置可视化流程引擎支持流程节点编排与独立超时升级规则配置（短信/电话/飞书三渠道通知）；分配规则引擎按工单类型→区域→楼层→等级四级优先级自动匹配处理人，实现工单派发自动化；SLA时效引擎按三优先级独立设置响应/挂起/完成超时约束，超时自动标记与升级；巡检路线周期规则引擎支持每日/每周/每月定时自动生成工单；ECharts混合图表实现工单新增与完成趋势叠加分析；设备台账远程搜索与信息卡片组件实现工单-设备双向关联追溯。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 w:line="360" w:lineRule="auto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 w:line="360" w:lineRule="auto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 w:line="360" w:lineRule="auto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