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操作说明书（智能楼宇智能绿色能源管理系统 buildingos.green）</w:t>
      </w:r>
    </w:p>
    <w:p>
      <w:pPr>
        <w:pStyle w:val="Heading2"/>
      </w:pPr>
      <w:r>
        <w:t>1 引言</w:t>
      </w:r>
    </w:p>
    <w:p>
      <w:pPr>
        <w:pStyle w:val="Heading3"/>
      </w:pPr>
      <w:r>
        <w:t>1.1 编写目的</w:t>
      </w:r>
    </w:p>
    <w:p>
      <w:r>
        <w:rPr>
          <w:rFonts w:ascii="宋体" w:hAnsi="宋体" w:eastAsia="宋体"/>
          <w:sz w:val="21"/>
        </w:rPr>
        <w:t>本操作说明书旨在帮助园区物业管理人员、能源管理工程师及系统管理员快速掌握智能楼宇智能绿色能源管理系统的使用方法和操作流程，确保能耗数据采集、用能监测告警和双碳管理工作的规范化与高效化。</w:t>
      </w:r>
    </w:p>
    <w:p>
      <w:pPr>
        <w:pStyle w:val="Heading3"/>
      </w:pPr>
      <w:r>
        <w:t>1.2 系统概述</w:t>
      </w:r>
    </w:p>
    <w:p>
      <w:r>
        <w:rPr>
          <w:rFonts w:ascii="宋体" w:hAnsi="宋体" w:eastAsia="宋体"/>
          <w:sz w:val="21"/>
        </w:rPr>
        <w:t>智能楼宇智能绿色能源管理系统是一套覆盖能耗采集、用能监测、能耗管理与双碳管控的综合性绿色能源管理平台。系统支持电耗/水耗多能源类型的表计台账管理与数据自动采集录入，内置告警阈值配置与告警事件处置流程，提供按月份/分项多维度的用能统计分析，集成水气阶梯价格配置与用电尖峰平谷分时电价管理，并全面覆盖碳概览、碳交易、碳足迹、双碳曲线预测、动态评价、辅助决策和碳资产管理等双碳业务功能。</w:t>
      </w:r>
    </w:p>
    <w:p>
      <w:pPr>
        <w:pStyle w:val="Heading3"/>
      </w:pPr>
      <w:r>
        <w:t>1.3 适用范围</w:t>
      </w:r>
    </w:p>
    <w:p>
      <w:r>
        <w:rPr>
          <w:rFonts w:ascii="宋体" w:hAnsi="宋体" w:eastAsia="宋体"/>
          <w:sz w:val="21"/>
        </w:rPr>
        <w:t>本手册适用于以下角色的日常操作参考：</w:t>
      </w:r>
    </w:p>
    <w:p>
      <w:r>
        <w:rPr>
          <w:rFonts w:ascii="宋体" w:hAnsi="宋体" w:eastAsia="宋体"/>
          <w:b/>
          <w:sz w:val="21"/>
        </w:rPr>
        <w:t>能源管理员：</w:t>
      </w:r>
      <w:r>
        <w:rPr>
          <w:rFonts w:ascii="宋体" w:hAnsi="宋体" w:eastAsia="宋体"/>
          <w:sz w:val="21"/>
        </w:rPr>
        <w:t>能耗表计台账维护、用能数据录入审核、价格配置管理、碳排放数据管理</w:t>
      </w:r>
    </w:p>
    <w:p>
      <w:r>
        <w:rPr>
          <w:rFonts w:ascii="宋体" w:hAnsi="宋体" w:eastAsia="宋体"/>
          <w:b/>
          <w:sz w:val="21"/>
        </w:rPr>
        <w:t>运维工程师：</w:t>
      </w:r>
      <w:r>
        <w:rPr>
          <w:rFonts w:ascii="宋体" w:hAnsi="宋体" w:eastAsia="宋体"/>
          <w:sz w:val="21"/>
        </w:rPr>
        <w:t>告警配置与告警事件处置、用能数据监测与分析</w:t>
      </w:r>
    </w:p>
    <w:p>
      <w:r>
        <w:rPr>
          <w:rFonts w:ascii="宋体" w:hAnsi="宋体" w:eastAsia="宋体"/>
          <w:b/>
          <w:sz w:val="21"/>
        </w:rPr>
        <w:t>系统管理员：</w:t>
      </w:r>
      <w:r>
        <w:rPr>
          <w:rFonts w:ascii="宋体" w:hAnsi="宋体" w:eastAsia="宋体"/>
          <w:sz w:val="21"/>
        </w:rPr>
        <w:t>系统配置、权限管理、双碳曲线参数设置</w:t>
      </w:r>
    </w:p>
    <w:p>
      <w:r>
        <w:rPr>
          <w:rFonts w:ascii="宋体" w:hAnsi="宋体" w:eastAsia="宋体"/>
          <w:b/>
          <w:sz w:val="21"/>
        </w:rPr>
        <w:t>管理层：</w:t>
      </w:r>
      <w:r>
        <w:rPr>
          <w:rFonts w:ascii="宋体" w:hAnsi="宋体" w:eastAsia="宋体"/>
          <w:sz w:val="21"/>
        </w:rPr>
        <w:t>碳概览看板、动态评价指标、辅助决策方案审阅</w:t>
      </w:r>
    </w:p>
    <w:p>
      <w:pPr>
        <w:pStyle w:val="Heading2"/>
      </w:pPr>
      <w:r>
        <w:t>2 系统运行环境</w:t>
      </w:r>
    </w:p>
    <w:p>
      <w:pPr>
        <w:pStyle w:val="Heading3"/>
      </w:pPr>
      <w:r>
        <w:t>2.1 硬件环境</w:t>
      </w:r>
    </w:p>
    <w:p>
      <w:r>
        <w:rPr>
          <w:rFonts w:ascii="宋体" w:hAnsi="宋体" w:eastAsia="宋体"/>
          <w:b/>
          <w:sz w:val="21"/>
        </w:rPr>
        <w:t>服务端：</w:t>
      </w:r>
      <w:r>
        <w:rPr>
          <w:rFonts w:ascii="宋体" w:hAnsi="宋体" w:eastAsia="宋体"/>
          <w:sz w:val="21"/>
        </w:rPr>
        <w:t>x86 8核CPU，RAM≥16GB，SSD≥512GB</w:t>
      </w:r>
    </w:p>
    <w:p>
      <w:r>
        <w:rPr>
          <w:rFonts w:ascii="宋体" w:hAnsi="宋体" w:eastAsia="宋体"/>
          <w:b/>
          <w:sz w:val="21"/>
        </w:rPr>
        <w:t>客户端：</w:t>
      </w:r>
      <w:r>
        <w:rPr>
          <w:rFonts w:ascii="宋体" w:hAnsi="宋体" w:eastAsia="宋体"/>
          <w:sz w:val="21"/>
        </w:rPr>
        <w:t>普通办公PC（i5/8GB/256GB），推荐使用Chrome/Edge浏览器</w:t>
      </w:r>
    </w:p>
    <w:p>
      <w:r>
        <w:rPr>
          <w:rFonts w:ascii="宋体" w:hAnsi="宋体" w:eastAsia="宋体"/>
          <w:b/>
          <w:sz w:val="21"/>
        </w:rPr>
        <w:t>网络环境：</w:t>
      </w:r>
      <w:r>
        <w:rPr>
          <w:rFonts w:ascii="宋体" w:hAnsi="宋体" w:eastAsia="宋体"/>
          <w:sz w:val="21"/>
        </w:rPr>
        <w:t>千兆局域网，支持MQTT协议的物联网采集网关</w:t>
      </w:r>
    </w:p>
    <w:p>
      <w:pPr>
        <w:pStyle w:val="Heading3"/>
      </w:pPr>
      <w:r>
        <w:t>2.2 软件环境</w:t>
      </w:r>
    </w:p>
    <w:p>
      <w:r>
        <w:rPr>
          <w:rFonts w:ascii="宋体" w:hAnsi="宋体" w:eastAsia="宋体"/>
          <w:b/>
          <w:sz w:val="21"/>
        </w:rPr>
        <w:t>服务端操作系统：</w:t>
      </w:r>
      <w:r>
        <w:rPr>
          <w:rFonts w:ascii="宋体" w:hAnsi="宋体" w:eastAsia="宋体"/>
          <w:sz w:val="21"/>
        </w:rPr>
        <w:t>Linux（Ubuntu 22.04）</w:t>
      </w:r>
    </w:p>
    <w:p>
      <w:r>
        <w:rPr>
          <w:rFonts w:ascii="宋体" w:hAnsi="宋体" w:eastAsia="宋体"/>
          <w:b/>
          <w:sz w:val="21"/>
        </w:rPr>
        <w:t>运行支撑：</w:t>
      </w:r>
      <w:r>
        <w:rPr>
          <w:rFonts w:ascii="宋体" w:hAnsi="宋体" w:eastAsia="宋体"/>
          <w:sz w:val="21"/>
        </w:rPr>
        <w:t>Nginx、PostgreSQL 15、Redis 7、MQTT Broker、Docker</w:t>
      </w:r>
    </w:p>
    <w:p>
      <w:r>
        <w:rPr>
          <w:rFonts w:ascii="宋体" w:hAnsi="宋体" w:eastAsia="宋体"/>
          <w:b/>
          <w:sz w:val="21"/>
        </w:rPr>
        <w:t>浏览器：</w:t>
      </w:r>
      <w:r>
        <w:rPr>
          <w:rFonts w:ascii="宋体" w:hAnsi="宋体" w:eastAsia="宋体"/>
          <w:sz w:val="21"/>
        </w:rPr>
        <w:t>Chrome 90+ / Edge 90+</w:t>
      </w:r>
    </w:p>
    <w:p>
      <w:pPr>
        <w:pStyle w:val="Heading2"/>
      </w:pPr>
      <w:r>
        <w:t>3 系统操作使用</w:t>
      </w:r>
    </w:p>
    <w:p>
      <w:pPr>
        <w:pStyle w:val="Heading3"/>
      </w:pPr>
      <w:r>
        <w:t>3.1 登录与首页</w:t>
      </w:r>
    </w:p>
    <w:p>
      <w:r>
        <w:rPr>
          <w:rFonts w:ascii="宋体" w:hAnsi="宋体" w:eastAsia="宋体"/>
          <w:sz w:val="21"/>
        </w:rPr>
        <w:t>用户通过浏览器访问系统地址后进入登录页面，输入账号和密码完成身份验证。登录成功后系统根据用户角色展示对应的功能菜单。能耗管理模块包含"能耗采集""能耗监测""能耗管理""双碳管理"四个一级菜单。</w:t>
      </w:r>
    </w:p>
    <w:p>
      <w:r>
        <w:rPr>
          <w:rFonts w:ascii="宋体" w:hAnsi="宋体" w:eastAsia="宋体"/>
          <w:i/>
          <w:color w:val="808080"/>
          <w:sz w:val="18"/>
        </w:rPr>
        <w:t>[ 图片占位：![登录页面](image.png) ]</w:t>
      </w:r>
    </w:p>
    <w:p>
      <w:r>
        <w:rPr>
          <w:rFonts w:ascii="宋体" w:hAnsi="宋体" w:eastAsia="宋体"/>
          <w:color w:val="646464"/>
          <w:sz w:val="18"/>
        </w:rPr>
        <w:t>图 3.1 系统登录页面</w:t>
      </w:r>
    </w:p>
    <w:p>
      <w:pPr>
        <w:pStyle w:val="Heading3"/>
      </w:pPr>
      <w:r>
        <w:t>3.2 能耗采集</w:t>
      </w:r>
    </w:p>
    <w:p>
      <w:r>
        <w:rPr>
          <w:rFonts w:ascii="宋体" w:hAnsi="宋体" w:eastAsia="宋体"/>
          <w:sz w:val="21"/>
        </w:rPr>
        <w:t>能耗采集模块负责管理电表和水表的台账信息，以及用能数据的录入与查询。</w:t>
      </w:r>
    </w:p>
    <w:p>
      <w:pPr>
        <w:pStyle w:val="Heading3"/>
      </w:pPr>
      <w:r>
        <w:t>3.2.1 电耗采集</w:t>
      </w:r>
    </w:p>
    <w:p>
      <w:r>
        <w:rPr>
          <w:rFonts w:ascii="宋体" w:hAnsi="宋体" w:eastAsia="宋体"/>
          <w:sz w:val="21"/>
        </w:rPr>
        <w:t>电耗采集页面包含"表计管理"和"用能数据"两个选项卡。</w:t>
      </w:r>
    </w:p>
    <w:p>
      <w:r>
        <w:rPr>
          <w:rFonts w:ascii="宋体" w:hAnsi="宋体" w:eastAsia="宋体"/>
          <w:sz w:val="21"/>
        </w:rPr>
        <w:t>**表计管理**：顶部查询栏支持按楼宇、楼层和状态（在用/停用）筛选表计。数据表格展示表计名称、表计编号、楼宇、楼层、区域、分公司、站点、设备ID、单位（kWh/m³）、安装日期、状态和备注。每行提供编辑和删除操作。"新增表计"按钮打开编辑弹窗，配置表计名称（必填）、表计编号、能源类型（必填）、楼宇、楼层、区域、分公司、站点、单位、安装日期、状态和备注。</w:t>
      </w:r>
    </w:p>
    <w:p>
      <w:r>
        <w:rPr>
          <w:rFonts w:ascii="宋体" w:hAnsi="宋体" w:eastAsia="宋体"/>
          <w:sz w:val="21"/>
        </w:rPr>
        <w:t>**用能数据**：顶部查询栏支持按表计、能源类型、年份、月份和日期范围筛选。数据表格展示表计名称、表计编号、能源类型、用量值、单位、读数时间、分项（空调/照明/新风/其他）、录入方式（自动/手动）和备注。"录入数据"按钮打开编辑弹窗，配置表计（必填）、能源类型（必填）、用量值（必填，数字输入）、读数时间（日期时间选择器）、分项（下拉选择）和备注。</w:t>
      </w:r>
    </w:p>
    <w:p>
      <w:r>
        <w:rPr>
          <w:rFonts w:ascii="宋体" w:hAnsi="宋体" w:eastAsia="宋体"/>
          <w:i/>
          <w:color w:val="808080"/>
          <w:sz w:val="18"/>
        </w:rPr>
        <w:t>[ 图片占位：![电耗采集](image-1.png) ]</w:t>
      </w:r>
    </w:p>
    <w:p>
      <w:r>
        <w:rPr>
          <w:rFonts w:ascii="宋体" w:hAnsi="宋体" w:eastAsia="宋体"/>
          <w:color w:val="646464"/>
          <w:sz w:val="18"/>
        </w:rPr>
        <w:t>图 3.2.1 电耗采集界面</w:t>
      </w:r>
    </w:p>
    <w:p>
      <w:pPr>
        <w:pStyle w:val="Heading3"/>
      </w:pPr>
      <w:r>
        <w:t>3.2.2 水耗采集</w:t>
      </w:r>
    </w:p>
    <w:p>
      <w:r>
        <w:rPr>
          <w:rFonts w:ascii="宋体" w:hAnsi="宋体" w:eastAsia="宋体"/>
          <w:sz w:val="21"/>
        </w:rPr>
        <w:t>水耗采集页面结构同电耗采集，包含"表计管理"和"用能数据"两个选项卡，筛选与操作方式一致。能源类型默认为"water"，单位默认为"m³"。表格展示水表名称、水表编号、楼宇、楼层、区域、用水量、读数时间和分项信息。</w:t>
      </w:r>
    </w:p>
    <w:p>
      <w:r>
        <w:rPr>
          <w:rFonts w:ascii="宋体" w:hAnsi="宋体" w:eastAsia="宋体"/>
          <w:i/>
          <w:color w:val="808080"/>
          <w:sz w:val="18"/>
        </w:rPr>
        <w:t>[ 图片占位：![水耗采集](image-2.png) ]</w:t>
      </w:r>
    </w:p>
    <w:p>
      <w:r>
        <w:rPr>
          <w:rFonts w:ascii="宋体" w:hAnsi="宋体" w:eastAsia="宋体"/>
          <w:color w:val="646464"/>
          <w:sz w:val="18"/>
        </w:rPr>
        <w:t>图 3.2.2 水耗采集界面</w:t>
      </w:r>
    </w:p>
    <w:p>
      <w:pPr>
        <w:pStyle w:val="Heading3"/>
      </w:pPr>
      <w:r>
        <w:t>3.3 能耗监测</w:t>
      </w:r>
    </w:p>
    <w:p>
      <w:r>
        <w:rPr>
          <w:rFonts w:ascii="宋体" w:hAnsi="宋体" w:eastAsia="宋体"/>
          <w:sz w:val="21"/>
        </w:rPr>
        <w:t>能耗监测模块负责告警阈值配置、告警事件管理和用能数据的多维度统计分析。</w:t>
      </w:r>
    </w:p>
    <w:p>
      <w:pPr>
        <w:pStyle w:val="Heading3"/>
      </w:pPr>
      <w:r>
        <w:t>3.3.1 能耗告警</w:t>
      </w:r>
    </w:p>
    <w:p>
      <w:r>
        <w:rPr>
          <w:rFonts w:ascii="宋体" w:hAnsi="宋体" w:eastAsia="宋体"/>
          <w:sz w:val="21"/>
        </w:rPr>
        <w:t>能耗告警页面包含"告警配置"和"告警记录"两个选项卡。</w:t>
      </w:r>
    </w:p>
    <w:p>
      <w:r>
        <w:rPr>
          <w:rFonts w:ascii="宋体" w:hAnsi="宋体" w:eastAsia="宋体"/>
          <w:sz w:val="21"/>
        </w:rPr>
        <w:t>**告警配置**：表格展示告警配置列表，包含关联表计名称、能源类型、告警阈值、统计周期（小时/天/周/月）、通知用户、启用状态（开关组件）和操作按钮。"新增配置"按钮打开编辑弹窗，配置关联表计、能源类型、告警阈值、统计周期、通知用户和启用开关。</w:t>
      </w:r>
    </w:p>
    <w:p>
      <w:r>
        <w:rPr>
          <w:rFonts w:ascii="宋体" w:hAnsi="宋体" w:eastAsia="宋体"/>
          <w:sz w:val="21"/>
        </w:rPr>
        <w:t>**告警记录**：表格展示告警事件列表，包含表计名称、能源类型、实际值、阈值、告警时间、状态（未处理/已处理彩色标签）、处理人、处理时间和操作按钮。未处理的告警行提供"处理"按钮，点击后弹出处理弹窗，填写处理备注后确认，系统记录处理人和处理时间。</w:t>
      </w:r>
    </w:p>
    <w:p>
      <w:r>
        <w:rPr>
          <w:rFonts w:ascii="宋体" w:hAnsi="宋体" w:eastAsia="宋体"/>
          <w:i/>
          <w:color w:val="808080"/>
          <w:sz w:val="18"/>
        </w:rPr>
        <w:t>[ 图片占位：![能耗告警](image-3.png) ]</w:t>
      </w:r>
    </w:p>
    <w:p>
      <w:r>
        <w:rPr>
          <w:rFonts w:ascii="宋体" w:hAnsi="宋体" w:eastAsia="宋体"/>
          <w:color w:val="646464"/>
          <w:sz w:val="18"/>
        </w:rPr>
        <w:t>图 3.3.1 能耗告警界面</w:t>
      </w:r>
    </w:p>
    <w:p>
      <w:pPr>
        <w:pStyle w:val="Heading3"/>
      </w:pPr>
      <w:r>
        <w:t>3.3.2 用能统计</w:t>
      </w:r>
    </w:p>
    <w:p>
      <w:r>
        <w:rPr>
          <w:rFonts w:ascii="宋体" w:hAnsi="宋体" w:eastAsia="宋体"/>
          <w:sz w:val="21"/>
        </w:rPr>
        <w:t>用能统计页面顶部筛选栏支持选择能源类型、年份和月份。页面以图表和表格两种形式展示统计结果：汇总卡片显示选定条件下的总用能数值和记录条数；按月份柱状图展示各月用能趋势；按分项饼图展示空调、照明、新风、其他各分项的用能占比；下方明细表格按分项列出各子项的用能数值和占比百分比。</w:t>
      </w:r>
    </w:p>
    <w:p>
      <w:r>
        <w:rPr>
          <w:rFonts w:ascii="宋体" w:hAnsi="宋体" w:eastAsia="宋体"/>
          <w:i/>
          <w:color w:val="808080"/>
          <w:sz w:val="18"/>
        </w:rPr>
        <w:t>[ 图片占位：![用能统计](image-4.png) ]</w:t>
      </w:r>
    </w:p>
    <w:p>
      <w:r>
        <w:rPr>
          <w:rFonts w:ascii="宋体" w:hAnsi="宋体" w:eastAsia="宋体"/>
          <w:color w:val="646464"/>
          <w:sz w:val="18"/>
        </w:rPr>
        <w:t>图 3.3.2 用能统计界面</w:t>
      </w:r>
    </w:p>
    <w:p>
      <w:pPr>
        <w:pStyle w:val="Heading3"/>
      </w:pPr>
      <w:r>
        <w:t>3.4 能耗管理</w:t>
      </w:r>
    </w:p>
    <w:p>
      <w:r>
        <w:rPr>
          <w:rFonts w:ascii="宋体" w:hAnsi="宋体" w:eastAsia="宋体"/>
          <w:sz w:val="21"/>
        </w:rPr>
        <w:t>能耗管理模块提供用水监测、用电监测、基础台账、价格配置和用电配置五个子功能。</w:t>
      </w:r>
    </w:p>
    <w:p>
      <w:pPr>
        <w:pStyle w:val="Heading3"/>
      </w:pPr>
      <w:r>
        <w:t>3.4.1 用水监测</w:t>
      </w:r>
    </w:p>
    <w:p>
      <w:r>
        <w:rPr>
          <w:rFonts w:ascii="宋体" w:hAnsi="宋体" w:eastAsia="宋体"/>
          <w:sz w:val="21"/>
        </w:rPr>
        <w:t>用水监测页面以表格形式按站点汇总展示用水量数据。顶部筛选支持按楼宇、楼层和时间范围过滤。表格列示站点名称、所属楼宇、当月用水量（m³）、上月用水量（m³）、环比变化率（百分比，正负颜色区分）和总用水量。数据来源于水耗采集模块的用能数据汇总计算。</w:t>
      </w:r>
    </w:p>
    <w:p>
      <w:r>
        <w:rPr>
          <w:rFonts w:ascii="宋体" w:hAnsi="宋体" w:eastAsia="宋体"/>
          <w:i/>
          <w:color w:val="808080"/>
          <w:sz w:val="18"/>
        </w:rPr>
        <w:t>[ 图片占位：![用水监测](image-5.png) ]</w:t>
      </w:r>
    </w:p>
    <w:p>
      <w:r>
        <w:rPr>
          <w:rFonts w:ascii="宋体" w:hAnsi="宋体" w:eastAsia="宋体"/>
          <w:color w:val="646464"/>
          <w:sz w:val="18"/>
        </w:rPr>
        <w:t>图 3.4.1 用水监测界面</w:t>
      </w:r>
    </w:p>
    <w:p>
      <w:pPr>
        <w:pStyle w:val="Heading3"/>
      </w:pPr>
      <w:r>
        <w:t>3.4.2 用电监测</w:t>
      </w:r>
    </w:p>
    <w:p>
      <w:r>
        <w:rPr>
          <w:rFonts w:ascii="宋体" w:hAnsi="宋体" w:eastAsia="宋体"/>
          <w:sz w:val="21"/>
        </w:rPr>
        <w:t>用电监测页面以表格形式按分公司汇总展示用电量、碳排放量和费用数据。顶部筛选支持按分公司和时间范围过滤。表格展示分公司名称、当月用电量（kWh）、尖峰用电量、峰时用电量、平时用电量、谷时用电量、碳排放量（tCO₂e，按0.581 kgCO₂/kWh因子计算）、电费金额（元，按各时段单价分别计算后汇总）和月度限额。超出月度限额的分公司行以红色高亮显示。</w:t>
      </w:r>
    </w:p>
    <w:p>
      <w:r>
        <w:rPr>
          <w:rFonts w:ascii="宋体" w:hAnsi="宋体" w:eastAsia="宋体"/>
          <w:i/>
          <w:color w:val="808080"/>
          <w:sz w:val="18"/>
        </w:rPr>
        <w:t>[ 图片占位：![用电监测](image-6.png) ]</w:t>
      </w:r>
    </w:p>
    <w:p>
      <w:r>
        <w:rPr>
          <w:rFonts w:ascii="宋体" w:hAnsi="宋体" w:eastAsia="宋体"/>
          <w:color w:val="646464"/>
          <w:sz w:val="18"/>
        </w:rPr>
        <w:t>图 3.4.2 用电监测界面</w:t>
      </w:r>
    </w:p>
    <w:p>
      <w:pPr>
        <w:pStyle w:val="Heading3"/>
      </w:pPr>
      <w:r>
        <w:t>3.4.3 基础台账</w:t>
      </w:r>
    </w:p>
    <w:p>
      <w:r>
        <w:rPr>
          <w:rFonts w:ascii="宋体" w:hAnsi="宋体" w:eastAsia="宋体"/>
          <w:sz w:val="21"/>
        </w:rPr>
        <w:t>基础台账页面展示能耗表计的完整台账信息，支持分页浏览和多条件筛选。顶部查询栏支持按楼宇、楼层、能源类型和状态（在用/停用）筛选。表格展示表计名称、表计编号、能源类型（彩色标签）、楼宇、楼层、区域、分公司、站点、单位、安装日期、状态和备注。每行提供编辑和删除操作。台账数据与能耗采集模块的表计管理共享同一数据源。</w:t>
      </w:r>
    </w:p>
    <w:p>
      <w:r>
        <w:rPr>
          <w:rFonts w:ascii="宋体" w:hAnsi="宋体" w:eastAsia="宋体"/>
          <w:i/>
          <w:color w:val="808080"/>
          <w:sz w:val="18"/>
        </w:rPr>
        <w:t>[ 图片占位：![基础台账](image-7.png) ]</w:t>
      </w:r>
    </w:p>
    <w:p>
      <w:r>
        <w:rPr>
          <w:rFonts w:ascii="宋体" w:hAnsi="宋体" w:eastAsia="宋体"/>
          <w:color w:val="646464"/>
          <w:sz w:val="18"/>
        </w:rPr>
        <w:t>图 3.4.3 基础台账界面</w:t>
      </w:r>
    </w:p>
    <w:p>
      <w:pPr>
        <w:pStyle w:val="Heading3"/>
      </w:pPr>
      <w:r>
        <w:t>3.4.4 价格配置</w:t>
      </w:r>
    </w:p>
    <w:p>
      <w:r>
        <w:rPr>
          <w:rFonts w:ascii="宋体" w:hAnsi="宋体" w:eastAsia="宋体"/>
          <w:sz w:val="21"/>
        </w:rPr>
        <w:t>价格配置页面用于管理水费和燃气费的阶梯价格方案。表格展示各价格配置的能源类型（水/气，彩色标签区分）、生效月份、一档用量上限、一档单价、二档用量上限、二档单价、三档单价、单位和备注。</w:t>
      </w:r>
    </w:p>
    <w:p>
      <w:r>
        <w:rPr>
          <w:rFonts w:ascii="宋体" w:hAnsi="宋体" w:eastAsia="宋体"/>
          <w:sz w:val="21"/>
        </w:rPr>
        <w:t>新增或编辑价格配置时弹出编辑弹窗，配置能源类型（必填——水/气）、生效月份（月份选择器，留空则为默认价格）、一档用量上限、一档单价、二档用量上限、二档单价、三档单价、单位和备注。价格计算逻辑：月用量≤一档上限时按一档单价计费，月用量在一档上限与二档上限之间时按二档单价计费，超过二档上限时按三档单价计费。</w:t>
      </w:r>
    </w:p>
    <w:p>
      <w:r>
        <w:rPr>
          <w:rFonts w:ascii="宋体" w:hAnsi="宋体" w:eastAsia="宋体"/>
          <w:i/>
          <w:color w:val="808080"/>
          <w:sz w:val="18"/>
        </w:rPr>
        <w:t>[ 图片占位：![价格配置](image-8.png) ]</w:t>
      </w:r>
    </w:p>
    <w:p>
      <w:r>
        <w:rPr>
          <w:rFonts w:ascii="宋体" w:hAnsi="宋体" w:eastAsia="宋体"/>
          <w:color w:val="646464"/>
          <w:sz w:val="18"/>
        </w:rPr>
        <w:t>图 3.4.4 价格配置界面</w:t>
      </w:r>
    </w:p>
    <w:p>
      <w:pPr>
        <w:pStyle w:val="Heading3"/>
      </w:pPr>
      <w:r>
        <w:t>3.4.5 用电配置</w:t>
      </w:r>
    </w:p>
    <w:p>
      <w:r>
        <w:rPr>
          <w:rFonts w:ascii="宋体" w:hAnsi="宋体" w:eastAsia="宋体"/>
          <w:sz w:val="21"/>
        </w:rPr>
        <w:t>用电配置页面用于管理各分公司的尖峰平谷分时电价和月度用电限额。表格展示分公司名称、尖峰时段（起止时间+单价）、峰时段（起止时间+单价）、平时段（起止时间+单价）、谷时段（起止时间+单价）、月度用电限额和操作按钮。</w:t>
      </w:r>
    </w:p>
    <w:p>
      <w:r>
        <w:rPr>
          <w:rFonts w:ascii="宋体" w:hAnsi="宋体" w:eastAsia="宋体"/>
          <w:sz w:val="21"/>
        </w:rPr>
        <w:t>新增或编辑用电配置时弹出编辑弹窗，配置分公司名称（必填），以及四个时段各自的起始时间（HH:mm格式）、结束时间和单价（元/kWh）：尖峰时段（sharp）、峰时段（peak）、平时段（flat）、谷时段（valley），以及月度用电限额（kWh）。电费计算时，系统根据用电数据的小时时间戳匹配对应时段，按各自单价分别计算后汇总。</w:t>
      </w:r>
    </w:p>
    <w:p>
      <w:r>
        <w:rPr>
          <w:rFonts w:ascii="宋体" w:hAnsi="宋体" w:eastAsia="宋体"/>
          <w:i/>
          <w:color w:val="808080"/>
          <w:sz w:val="18"/>
        </w:rPr>
        <w:t>[ 图片占位：![用电配置](image-9.png) ]</w:t>
      </w:r>
    </w:p>
    <w:p>
      <w:r>
        <w:rPr>
          <w:rFonts w:ascii="宋体" w:hAnsi="宋体" w:eastAsia="宋体"/>
          <w:color w:val="646464"/>
          <w:sz w:val="18"/>
        </w:rPr>
        <w:t>图 3.4.5 用电配置界面</w:t>
      </w:r>
    </w:p>
    <w:p>
      <w:pPr>
        <w:pStyle w:val="Heading3"/>
      </w:pPr>
      <w:r>
        <w:t>3.5 双碳管理</w:t>
      </w:r>
    </w:p>
    <w:p>
      <w:r>
        <w:rPr>
          <w:rFonts w:ascii="宋体" w:hAnsi="宋体" w:eastAsia="宋体"/>
          <w:sz w:val="21"/>
        </w:rPr>
        <w:t>双碳管理模块提供碳排放概览、碳交易管理、碳足迹管理、双碳曲线预测、动态评价、辅助决策和碳资产管理七个子功能。</w:t>
      </w:r>
    </w:p>
    <w:p>
      <w:pPr>
        <w:pStyle w:val="Heading3"/>
      </w:pPr>
      <w:r>
        <w:t>3.5.1 碳概览</w:t>
      </w:r>
    </w:p>
    <w:p>
      <w:r>
        <w:rPr>
          <w:rFonts w:ascii="宋体" w:hAnsi="宋体" w:eastAsia="宋体"/>
          <w:sz w:val="21"/>
        </w:rPr>
        <w:t>碳概览页面展示碳排放的整体统计情况。顶部筛选栏支持按楼宇和年份筛选。页面以三张摘要卡片展示核心指标：碳排放总量（tCO₂e，大号数字突出显示）、直接排放量（tCO₂e）、间接排放量（tCO₂e，由用电量×0.581 kgCO₂/kWh计算得出）。卡片下方以折线图展示各月碳排放历史趋势。</w:t>
      </w:r>
    </w:p>
    <w:p>
      <w:r>
        <w:rPr>
          <w:rFonts w:ascii="宋体" w:hAnsi="宋体" w:eastAsia="宋体"/>
          <w:i/>
          <w:color w:val="808080"/>
          <w:sz w:val="18"/>
        </w:rPr>
        <w:t>[ 图片占位：![碳概览](image-10.png) ]</w:t>
      </w:r>
    </w:p>
    <w:p>
      <w:r>
        <w:rPr>
          <w:rFonts w:ascii="宋体" w:hAnsi="宋体" w:eastAsia="宋体"/>
          <w:color w:val="646464"/>
          <w:sz w:val="18"/>
        </w:rPr>
        <w:t>图 3.5.1 碳概览界面</w:t>
      </w:r>
    </w:p>
    <w:p>
      <w:pPr>
        <w:pStyle w:val="Heading3"/>
      </w:pPr>
      <w:r>
        <w:t>3.5.2 碳交易</w:t>
      </w:r>
    </w:p>
    <w:p>
      <w:r>
        <w:rPr>
          <w:rFonts w:ascii="宋体" w:hAnsi="宋体" w:eastAsia="宋体"/>
          <w:sz w:val="21"/>
        </w:rPr>
        <w:t>碳交易页面管理碳交易记录的录入和维护。表格展示交易楼宇、交易时间、生效时间、购买类型（核证减排量/绿证/CCER彩色标签）、碳交易量（tCO₂e）、交易平台、状态和备注。顶部提供分页和多条件筛选。新增或编辑碳交易时弹出编辑弹窗，配置交易楼宇、交易时间、生效时间、购买类型、碳交易量、交易平台和备注。</w:t>
      </w:r>
    </w:p>
    <w:p>
      <w:r>
        <w:rPr>
          <w:rFonts w:ascii="宋体" w:hAnsi="宋体" w:eastAsia="宋体"/>
          <w:i/>
          <w:color w:val="808080"/>
          <w:sz w:val="18"/>
        </w:rPr>
        <w:t>[ 图片占位：![碳交易](image-11.png) ]</w:t>
      </w:r>
    </w:p>
    <w:p>
      <w:r>
        <w:rPr>
          <w:rFonts w:ascii="宋体" w:hAnsi="宋体" w:eastAsia="宋体"/>
          <w:color w:val="646464"/>
          <w:sz w:val="18"/>
        </w:rPr>
        <w:t>图 3.5.2 碳交易界面</w:t>
      </w:r>
    </w:p>
    <w:p>
      <w:pPr>
        <w:pStyle w:val="Heading3"/>
      </w:pPr>
      <w:r>
        <w:t>3.5.3 碳足迹</w:t>
      </w:r>
    </w:p>
    <w:p>
      <w:r>
        <w:rPr>
          <w:rFonts w:ascii="宋体" w:hAnsi="宋体" w:eastAsia="宋体"/>
          <w:sz w:val="21"/>
        </w:rPr>
        <w:t>碳足迹页面管理产品碳足迹的全生命周期记录。表格展示楼宇、产品名称、碳排放量（tCO₂e）、单位产品碳排放量、产品生产周期（起止时间）、核查周期（起止时间）、核查结论和备注。新增或编辑碳足迹时弹出编辑弹窗，配置楼宇、产品名称、碳排放总量、单位产品碳排放量、单位、产品起止时间、核查起止时间和核查结论。</w:t>
      </w:r>
    </w:p>
    <w:p>
      <w:r>
        <w:rPr>
          <w:rFonts w:ascii="宋体" w:hAnsi="宋体" w:eastAsia="宋体"/>
          <w:i/>
          <w:color w:val="808080"/>
          <w:sz w:val="18"/>
        </w:rPr>
        <w:t>[ 图片占位：![碳足迹](image-12.png) ]</w:t>
      </w:r>
    </w:p>
    <w:p>
      <w:r>
        <w:rPr>
          <w:rFonts w:ascii="宋体" w:hAnsi="宋体" w:eastAsia="宋体"/>
          <w:color w:val="646464"/>
          <w:sz w:val="18"/>
        </w:rPr>
        <w:t>图 3.5.3 碳足迹界面</w:t>
      </w:r>
    </w:p>
    <w:p>
      <w:pPr>
        <w:pStyle w:val="Heading3"/>
      </w:pPr>
      <w:r>
        <w:t>3.5.4 双碳曲线</w:t>
      </w:r>
    </w:p>
    <w:p>
      <w:r>
        <w:rPr>
          <w:rFonts w:ascii="宋体" w:hAnsi="宋体" w:eastAsia="宋体"/>
          <w:sz w:val="21"/>
        </w:rPr>
        <w:t>双碳曲线页面展示碳排放达峰和中和的预测曲线图。顶部筛选栏支持选择场景类型：模拟场景（按年节能率3%推算）和规划场景（按年节能率5%推算）。页面以ECharts折线图展示从当前年份起未来30年的排放量变化趋势，横轴为年份，纵轴为碳排放量（tCO₂e）。曲线从基准值100 tCO₂e开始逐年递减。管理员可通过"参数设置"按钮调整基准排放量、目标年份和节能率参数。</w:t>
      </w:r>
    </w:p>
    <w:p>
      <w:r>
        <w:rPr>
          <w:rFonts w:ascii="宋体" w:hAnsi="宋体" w:eastAsia="宋体"/>
          <w:i/>
          <w:color w:val="808080"/>
          <w:sz w:val="18"/>
        </w:rPr>
        <w:t>[ 图片占位：![双碳曲线](image-13.png) ]</w:t>
      </w:r>
    </w:p>
    <w:p>
      <w:r>
        <w:rPr>
          <w:rFonts w:ascii="宋体" w:hAnsi="宋体" w:eastAsia="宋体"/>
          <w:color w:val="646464"/>
          <w:sz w:val="18"/>
        </w:rPr>
        <w:t>图 3.5.4 双碳曲线界面</w:t>
      </w:r>
    </w:p>
    <w:p>
      <w:pPr>
        <w:pStyle w:val="Heading3"/>
      </w:pPr>
      <w:r>
        <w:t>3.5.5 动态评价</w:t>
      </w:r>
    </w:p>
    <w:p>
      <w:r>
        <w:rPr>
          <w:rFonts w:ascii="宋体" w:hAnsi="宋体" w:eastAsia="宋体"/>
          <w:sz w:val="21"/>
        </w:rPr>
        <w:t>动态评价页面从单位面积能耗和人均能耗两个维度评估能源使用效率。页面以两张指标卡片展示：单位面积能耗（kgace/m²），计算公式为"总用电量（kWh）× 0.1229 ÷ 建筑面积（10000 m²）"；人均能耗（kgace/人），计算公式为"总用电量（kWh）× 0.1229 ÷ 总人数（500人）"。数值以仪表盘样式呈现，绿色表示低于行业基准，橙色表示接近基准，红色表示超出基准。</w:t>
      </w:r>
    </w:p>
    <w:p>
      <w:r>
        <w:rPr>
          <w:rFonts w:ascii="宋体" w:hAnsi="宋体" w:eastAsia="宋体"/>
          <w:i/>
          <w:color w:val="808080"/>
          <w:sz w:val="18"/>
        </w:rPr>
        <w:t>[ 图片占位：![动态评价](image-14.png) ]</w:t>
      </w:r>
    </w:p>
    <w:p>
      <w:r>
        <w:rPr>
          <w:rFonts w:ascii="宋体" w:hAnsi="宋体" w:eastAsia="宋体"/>
          <w:color w:val="646464"/>
          <w:sz w:val="18"/>
        </w:rPr>
        <w:t>图 3.5.5 动态评价界面</w:t>
      </w:r>
    </w:p>
    <w:p>
      <w:pPr>
        <w:pStyle w:val="Heading3"/>
      </w:pPr>
      <w:r>
        <w:t>3.5.6 辅助决策</w:t>
      </w:r>
    </w:p>
    <w:p>
      <w:r>
        <w:rPr>
          <w:rFonts w:ascii="宋体" w:hAnsi="宋体" w:eastAsia="宋体"/>
          <w:sz w:val="21"/>
        </w:rPr>
        <w:t>辅助决策页面管理节能投资方案的决策分析记录。表格展示楼宇、能源消耗量（tce）、投资金额（万元）、预计节能率（%）、预计节能量（tce）、预计减碳量（tCO₂e）和备注。新增或编辑决策方案时弹出编辑弹窗，配置上述字段。表格末尾提供删除操作，辅助管理层对比不同投资方案的投入产出效益，选择最优节能策略。</w:t>
      </w:r>
    </w:p>
    <w:p>
      <w:r>
        <w:rPr>
          <w:rFonts w:ascii="宋体" w:hAnsi="宋体" w:eastAsia="宋体"/>
          <w:i/>
          <w:color w:val="808080"/>
          <w:sz w:val="18"/>
        </w:rPr>
        <w:t>[ 图片占位：![辅助决策](image-15.png) ]</w:t>
      </w:r>
    </w:p>
    <w:p>
      <w:r>
        <w:rPr>
          <w:rFonts w:ascii="宋体" w:hAnsi="宋体" w:eastAsia="宋体"/>
          <w:color w:val="646464"/>
          <w:sz w:val="18"/>
        </w:rPr>
        <w:t>图 3.5.6 辅助决策界面</w:t>
      </w:r>
    </w:p>
    <w:p>
      <w:pPr>
        <w:pStyle w:val="Heading3"/>
      </w:pPr>
      <w:r>
        <w:t>3.5.7 碳资产管理</w:t>
      </w:r>
    </w:p>
    <w:p>
      <w:r>
        <w:rPr>
          <w:rFonts w:ascii="宋体" w:hAnsi="宋体" w:eastAsia="宋体"/>
          <w:sz w:val="21"/>
        </w:rPr>
        <w:t>碳资产管理页面对比展示碳排放目标与实际排放情况。顶部筛选栏支持按楼宇和时间范围过滤。页面展示排放目标值（基于上年度排放量的80%设定）、实际排放量（tCO₂e，从用能数据计算得出）、已交易碳量（tCO₂e，从碳交易记录汇总）、碳中和量（tCO₂e，等于已交易碳量）以及排放缺口（实际排放-目标排放，正值以红色警示）。下方以趋势图展示近期碳交易量的变化趋势，辅助碳资产管理与履约决策。</w:t>
      </w:r>
    </w:p>
    <w:p>
      <w:r>
        <w:rPr>
          <w:rFonts w:ascii="宋体" w:hAnsi="宋体" w:eastAsia="宋体"/>
          <w:i/>
          <w:color w:val="808080"/>
          <w:sz w:val="18"/>
        </w:rPr>
        <w:t>[ 图片占位：![碳资产管理](image-16.png) ]</w:t>
      </w:r>
    </w:p>
    <w:p>
      <w:r>
        <w:rPr>
          <w:rFonts w:ascii="宋体" w:hAnsi="宋体" w:eastAsia="宋体"/>
          <w:color w:val="646464"/>
          <w:sz w:val="18"/>
        </w:rPr>
        <w:t>图 3.5.7 碳资产管理界面</w:t>
      </w:r>
    </w:p>
    <w:p>
      <w:pPr>
        <w:pStyle w:val="Heading2"/>
      </w:pPr>
      <w:r>
        <w:t>4 业务逻辑说明</w:t>
      </w:r>
    </w:p>
    <w:p>
      <w:pPr>
        <w:pStyle w:val="Heading3"/>
      </w:pPr>
      <w:r>
        <w:t>4.1 碳排放计算</w:t>
      </w:r>
    </w:p>
    <w:p>
      <w:r>
        <w:rPr>
          <w:rFonts w:ascii="宋体" w:hAnsi="宋体" w:eastAsia="宋体"/>
          <w:sz w:val="21"/>
        </w:rPr>
        <w:t>系统使用国家电网平均碳排放因子计算间接排放：</w:t>
      </w:r>
    </w:p>
    <w:p>
      <w:r>
        <w:rPr>
          <w:rFonts w:ascii="宋体" w:hAnsi="宋体" w:eastAsia="宋体"/>
          <w:sz w:val="21"/>
        </w:rPr>
        <w:t>• 间接排放量（tCO₂e）= 用电量（kWh）× 0.581（kgCO₂/kWh）÷ 1000</w:t>
      </w:r>
    </w:p>
    <w:p>
      <w:r>
        <w:rPr>
          <w:rFonts w:ascii="宋体" w:hAnsi="宋体" w:eastAsia="宋体"/>
          <w:sz w:val="21"/>
        </w:rPr>
        <w:t>• 直接排放量目前需通过碳足迹功能手工录入</w:t>
      </w:r>
    </w:p>
    <w:p>
      <w:pPr>
        <w:pStyle w:val="Heading3"/>
      </w:pPr>
      <w:r>
        <w:t>4.2 双碳曲线预测</w:t>
      </w:r>
    </w:p>
    <w:p>
      <w:r>
        <w:rPr>
          <w:rFonts w:ascii="宋体" w:hAnsi="宋体" w:eastAsia="宋体"/>
          <w:sz w:val="21"/>
        </w:rPr>
        <w:t>两种场景的预测公式：</w:t>
      </w:r>
    </w:p>
    <w:p>
      <w:r>
        <w:rPr>
          <w:rFonts w:ascii="宋体" w:hAnsi="宋体" w:eastAsia="宋体"/>
          <w:b/>
          <w:sz w:val="21"/>
        </w:rPr>
        <w:t>模拟场景：</w:t>
      </w:r>
      <w:r>
        <w:rPr>
          <w:rFonts w:ascii="宋体" w:hAnsi="宋体" w:eastAsia="宋体"/>
          <w:sz w:val="21"/>
        </w:rPr>
        <w:t>每年节能3%，即 emission(t) = 100 × (1 - 0.03)^t</w:t>
      </w:r>
    </w:p>
    <w:p>
      <w:r>
        <w:rPr>
          <w:rFonts w:ascii="宋体" w:hAnsi="宋体" w:eastAsia="宋体"/>
          <w:b/>
          <w:sz w:val="21"/>
        </w:rPr>
        <w:t>规划场景：</w:t>
      </w:r>
      <w:r>
        <w:rPr>
          <w:rFonts w:ascii="宋体" w:hAnsi="宋体" w:eastAsia="宋体"/>
          <w:sz w:val="21"/>
        </w:rPr>
        <w:t>每年节能5%，即 emission(t) = 100 × (1 - 0.05)^t</w:t>
      </w:r>
    </w:p>
    <w:p>
      <w:r>
        <w:rPr>
          <w:rFonts w:ascii="宋体" w:hAnsi="宋体" w:eastAsia="宋体"/>
          <w:sz w:val="21"/>
        </w:rPr>
        <w:t>基准值为100 tCO₂e，时间跨度30年。</w:t>
      </w:r>
    </w:p>
    <w:p>
      <w:pPr>
        <w:pStyle w:val="Heading3"/>
      </w:pPr>
      <w:r>
        <w:t>4.3 动态评价指标</w:t>
      </w:r>
    </w:p>
    <w:p>
      <w:r>
        <w:rPr>
          <w:rFonts w:ascii="宋体" w:hAnsi="宋体" w:eastAsia="宋体"/>
          <w:sz w:val="21"/>
        </w:rPr>
        <w:t>• 单位面积能耗（kgace/m²）= 总用电量（kWh）× 0.1229 ÷ 建筑面积（m²）</w:t>
      </w:r>
    </w:p>
    <w:p>
      <w:r>
        <w:rPr>
          <w:rFonts w:ascii="宋体" w:hAnsi="宋体" w:eastAsia="宋体"/>
          <w:sz w:val="21"/>
        </w:rPr>
        <w:t>• 人均能耗（kgace/人）= 总用电量（kWh）× 0.1229 ÷ 总人数</w:t>
      </w:r>
    </w:p>
    <w:p>
      <w:r>
        <w:rPr>
          <w:rFonts w:ascii="宋体" w:hAnsi="宋体" w:eastAsia="宋体"/>
          <w:sz w:val="21"/>
        </w:rPr>
        <w:t>其中 1 kWh = 0.1229 kgce（千克标准煤当量）。</w:t>
      </w:r>
    </w:p>
    <w:p>
      <w:pPr>
        <w:pStyle w:val="Heading3"/>
      </w:pPr>
      <w:r>
        <w:t>4.4 告警触发机制</w:t>
      </w:r>
    </w:p>
    <w:p>
      <w:r>
        <w:rPr>
          <w:rFonts w:ascii="宋体" w:hAnsi="宋体" w:eastAsia="宋体"/>
          <w:sz w:val="21"/>
        </w:rPr>
        <w:t>告警事件通过外部系统（IoT采集服务）或MQTT消息触发写入energy_alarm表。monitor.service.ts的ackAlarm接口负责处理确认操作，记录处理人、处理时间和处理备注。</w:t>
      </w:r>
    </w:p>
    <w:p>
      <w:pPr>
        <w:pStyle w:val="Heading3"/>
      </w:pPr>
      <w:r>
        <w:t>4.5 水气阶梯价格计费</w:t>
      </w:r>
    </w:p>
    <w:p>
      <w:r>
        <w:rPr>
          <w:rFonts w:ascii="宋体" w:hAnsi="宋体" w:eastAsia="宋体"/>
          <w:sz w:val="21"/>
        </w:rPr>
        <w:t>• 月用量 ≤ 一档上限：按一档单价计费</w:t>
      </w:r>
    </w:p>
    <w:p>
      <w:r>
        <w:rPr>
          <w:rFonts w:ascii="宋体" w:hAnsi="宋体" w:eastAsia="宋体"/>
          <w:sz w:val="21"/>
        </w:rPr>
        <w:t>• 一档上限 &lt; 月用量 ≤ 二档上限：按二档单价计费</w:t>
      </w:r>
    </w:p>
    <w:p>
      <w:r>
        <w:rPr>
          <w:rFonts w:ascii="宋体" w:hAnsi="宋体" w:eastAsia="宋体"/>
          <w:sz w:val="21"/>
        </w:rPr>
        <w:t>• 月用量 &gt; 二档上限：按三档单价计费</w:t>
      </w:r>
    </w:p>
    <w:p>
      <w:pPr>
        <w:pStyle w:val="Heading2"/>
      </w:pPr>
      <w:r>
        <w:t>5 常见问题</w:t>
      </w:r>
    </w:p>
    <w:p>
      <w:pPr>
        <w:pStyle w:val="Heading3"/>
      </w:pPr>
      <w:r>
        <w:t>5.1 如何处理能耗告警？</w:t>
      </w:r>
    </w:p>
    <w:p>
      <w:r>
        <w:rPr>
          <w:rFonts w:ascii="宋体" w:hAnsi="宋体" w:eastAsia="宋体"/>
          <w:sz w:val="21"/>
        </w:rPr>
        <w:t>系统通过MQTT实时接收能耗数据，当用能值超过告警配置中设定的阈值时自动生成告警事件。运维人员进入"能耗监测→能耗告警→告警记录"查看未处理的告警，点击"处理"按钮填写处理备注后确认，系统记录处理人和处理时间。</w:t>
      </w:r>
    </w:p>
    <w:p>
      <w:pPr>
        <w:pStyle w:val="Heading3"/>
      </w:pPr>
      <w:r>
        <w:t>5.2 如何配置分时电价？</w:t>
      </w:r>
    </w:p>
    <w:p>
      <w:r>
        <w:rPr>
          <w:rFonts w:ascii="宋体" w:hAnsi="宋体" w:eastAsia="宋体"/>
          <w:sz w:val="21"/>
        </w:rPr>
        <w:t>进入"能耗管理→用电配置"模块，新增或编辑时选择分公司，分别配置尖峰、峰、平、谷四个时段的起始时间（HH:mm格式）、结束时间和电价（元/kWh），以及月度用电限额。系统在计算电费时自动根据用电数据的时间戳匹配对应时段的单价。</w:t>
      </w:r>
    </w:p>
    <w:p>
      <w:pPr>
        <w:pStyle w:val="Heading3"/>
      </w:pPr>
      <w:r>
        <w:t>5.3 碳概览数据如何计算？</w:t>
      </w:r>
    </w:p>
    <w:p>
      <w:r>
        <w:rPr>
          <w:rFonts w:ascii="宋体" w:hAnsi="宋体" w:eastAsia="宋体"/>
          <w:sz w:val="21"/>
        </w:rPr>
        <w:t>碳概览中的间接排放量由系统自动计算：从能耗采集模块获取所有用电数据（energyType=electricity），汇总用电量后乘以国家电网平均碳排放因子0.581 kgCO₂/kWh再除以1000得到tCO₂e值。直接排放量需通过碳足迹功能手工录入。</w:t>
      </w:r>
    </w:p>
    <w:p>
      <w:pPr>
        <w:pStyle w:val="Heading3"/>
      </w:pPr>
      <w:r>
        <w:t>5.4 双碳曲线如何调整参数？</w:t>
      </w:r>
    </w:p>
    <w:p>
      <w:r>
        <w:rPr>
          <w:rFonts w:ascii="宋体" w:hAnsi="宋体" w:eastAsia="宋体"/>
          <w:sz w:val="21"/>
        </w:rPr>
        <w:t>进入"双碳管理→双碳曲线"模块，点击"参数设置"按钮可调整基准排放量、目标年份（碳中和年份）和节能率参数。系统提供两种预设场景：模拟场景（3%年节能率）和规划场景（5%年节能率），切换场景后曲线图实时更新。</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