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软件著作权登记申请表（智能楼宇智能绿色能源管理系统 buildingos.green）</w:t>
      </w:r>
    </w:p>
    <w:p>
      <w:pPr>
        <w:pStyle w:val="Heading2"/>
      </w:pPr>
      <w:r>
        <w:t>软件基本信息</w:t>
      </w:r>
    </w:p>
    <w:p>
      <w:r>
        <w:rPr>
          <w:rFonts w:ascii="宋体" w:hAnsi="宋体" w:eastAsia="宋体"/>
          <w:b/>
          <w:sz w:val="21"/>
        </w:rPr>
        <w:t>软件全称：</w:t>
      </w:r>
      <w:r>
        <w:rPr>
          <w:rFonts w:ascii="宋体" w:hAnsi="宋体" w:eastAsia="宋体"/>
          <w:sz w:val="21"/>
        </w:rPr>
        <w:t>智能楼宇智能绿色能源管理系统</w:t>
      </w:r>
    </w:p>
    <w:p>
      <w:r>
        <w:rPr>
          <w:rFonts w:ascii="宋体" w:hAnsi="宋体" w:eastAsia="宋体"/>
          <w:b/>
          <w:sz w:val="21"/>
        </w:rPr>
        <w:t>软件简称：</w:t>
      </w:r>
      <w:r>
        <w:rPr>
          <w:rFonts w:ascii="宋体" w:hAnsi="宋体" w:eastAsia="宋体"/>
          <w:sz w:val="21"/>
        </w:rPr>
        <w:t>buildingos.green</w:t>
      </w:r>
    </w:p>
    <w:p>
      <w:r>
        <w:rPr>
          <w:rFonts w:ascii="宋体" w:hAnsi="宋体" w:eastAsia="宋体"/>
          <w:b/>
          <w:sz w:val="21"/>
        </w:rPr>
        <w:t>版本号：</w:t>
      </w:r>
      <w:r>
        <w:rPr>
          <w:rFonts w:ascii="宋体" w:hAnsi="宋体" w:eastAsia="宋体"/>
          <w:sz w:val="21"/>
        </w:rPr>
        <w:t>V1.0</w:t>
      </w:r>
    </w:p>
    <w:p>
      <w:r>
        <w:rPr>
          <w:rFonts w:ascii="宋体" w:hAnsi="宋体" w:eastAsia="宋体"/>
          <w:b/>
          <w:sz w:val="21"/>
        </w:rPr>
        <w:t>软件作品说明：</w:t>
      </w:r>
      <w:r>
        <w:rPr>
          <w:rFonts w:ascii="宋体" w:hAnsi="宋体" w:eastAsia="宋体"/>
          <w:sz w:val="21"/>
        </w:rPr>
        <w:t>原创</w:t>
      </w:r>
    </w:p>
    <w:p>
      <w:pPr>
        <w:pStyle w:val="Heading2"/>
      </w:pPr>
      <w:r>
        <w:t>辅助信息</w:t>
      </w:r>
    </w:p>
    <w:p>
      <w:r>
        <w:rPr>
          <w:rFonts w:ascii="宋体" w:hAnsi="宋体" w:eastAsia="宋体"/>
          <w:b/>
          <w:sz w:val="21"/>
        </w:rPr>
        <w:t>开发完成日期：</w:t>
      </w:r>
      <w:r>
        <w:rPr>
          <w:rFonts w:ascii="宋体" w:hAnsi="宋体" w:eastAsia="宋体"/>
          <w:sz w:val="21"/>
        </w:rPr>
        <w:t>2025年09月30日</w:t>
      </w:r>
    </w:p>
    <w:p>
      <w:r>
        <w:rPr>
          <w:rFonts w:ascii="宋体" w:hAnsi="宋体" w:eastAsia="宋体"/>
          <w:b/>
          <w:sz w:val="21"/>
        </w:rPr>
        <w:t>发表情况：</w:t>
      </w:r>
      <w:r>
        <w:rPr>
          <w:rFonts w:ascii="宋体" w:hAnsi="宋体" w:eastAsia="宋体"/>
          <w:sz w:val="21"/>
        </w:rPr>
        <w:t>已发表</w:t>
      </w:r>
    </w:p>
    <w:p>
      <w:r>
        <w:rPr>
          <w:rFonts w:ascii="宋体" w:hAnsi="宋体" w:eastAsia="宋体"/>
          <w:b/>
          <w:sz w:val="21"/>
        </w:rPr>
        <w:t>发表时间：</w:t>
      </w:r>
      <w:r>
        <w:rPr>
          <w:rFonts w:ascii="宋体" w:hAnsi="宋体" w:eastAsia="宋体"/>
          <w:sz w:val="21"/>
        </w:rPr>
        <w:t>2025年10月31日</w:t>
      </w:r>
    </w:p>
    <w:p>
      <w:r>
        <w:rPr>
          <w:rFonts w:ascii="宋体" w:hAnsi="宋体" w:eastAsia="宋体"/>
          <w:b/>
          <w:sz w:val="21"/>
        </w:rPr>
        <w:t>发表城市：</w:t>
      </w:r>
      <w:r>
        <w:rPr>
          <w:rFonts w:ascii="宋体" w:hAnsi="宋体" w:eastAsia="宋体"/>
          <w:sz w:val="21"/>
        </w:rPr>
        <w:t>成都</w:t>
      </w:r>
    </w:p>
    <w:p>
      <w:r>
        <w:rPr>
          <w:rFonts w:ascii="宋体" w:hAnsi="宋体" w:eastAsia="宋体"/>
          <w:b/>
          <w:sz w:val="21"/>
        </w:rPr>
        <w:t>开发方式：</w:t>
      </w:r>
      <w:r>
        <w:rPr>
          <w:rFonts w:ascii="宋体" w:hAnsi="宋体" w:eastAsia="宋体"/>
          <w:sz w:val="21"/>
        </w:rPr>
        <w:t>独立开发</w:t>
      </w:r>
    </w:p>
    <w:p>
      <w:pPr>
        <w:pStyle w:val="Heading2"/>
      </w:pPr>
      <w:r>
        <w:t>著作权人</w:t>
      </w:r>
    </w:p>
    <w:p>
      <w:r>
        <w:rPr>
          <w:rFonts w:ascii="宋体" w:hAnsi="宋体" w:eastAsia="宋体"/>
          <w:b/>
          <w:sz w:val="21"/>
        </w:rPr>
        <w:t>姓名或名称：</w:t>
      </w:r>
      <w:r>
        <w:rPr>
          <w:rFonts w:ascii="宋体" w:hAnsi="宋体" w:eastAsia="宋体"/>
          <w:sz w:val="21"/>
        </w:rPr>
        <w:t>成都极企科技有限公司</w:t>
      </w:r>
    </w:p>
    <w:p>
      <w:r>
        <w:rPr>
          <w:rFonts w:ascii="宋体" w:hAnsi="宋体" w:eastAsia="宋体"/>
          <w:b/>
          <w:sz w:val="21"/>
        </w:rPr>
        <w:t>类别：</w:t>
      </w:r>
      <w:r>
        <w:rPr>
          <w:rFonts w:ascii="宋体" w:hAnsi="宋体" w:eastAsia="宋体"/>
          <w:sz w:val="21"/>
        </w:rPr>
        <w:t>企业法人</w:t>
      </w:r>
    </w:p>
    <w:p>
      <w:r>
        <w:rPr>
          <w:rFonts w:ascii="宋体" w:hAnsi="宋体" w:eastAsia="宋体"/>
          <w:b/>
          <w:sz w:val="21"/>
        </w:rPr>
        <w:t>证件类型：</w:t>
      </w:r>
      <w:r>
        <w:rPr>
          <w:rFonts w:ascii="宋体" w:hAnsi="宋体" w:eastAsia="宋体"/>
          <w:sz w:val="21"/>
        </w:rPr>
        <w:t>营业执照</w:t>
      </w:r>
    </w:p>
    <w:p>
      <w:r>
        <w:rPr>
          <w:rFonts w:ascii="宋体" w:hAnsi="宋体" w:eastAsia="宋体"/>
          <w:b/>
          <w:sz w:val="21"/>
        </w:rPr>
        <w:t>证件号码：</w:t>
      </w:r>
      <w:r>
        <w:rPr>
          <w:rFonts w:ascii="宋体" w:hAnsi="宋体" w:eastAsia="宋体"/>
          <w:sz w:val="21"/>
        </w:rPr>
        <w:t>待填写</w:t>
      </w:r>
    </w:p>
    <w:p>
      <w:r>
        <w:rPr>
          <w:rFonts w:ascii="宋体" w:hAnsi="宋体" w:eastAsia="宋体"/>
          <w:b/>
          <w:sz w:val="21"/>
        </w:rPr>
        <w:t>国籍：</w:t>
      </w:r>
      <w:r>
        <w:rPr>
          <w:rFonts w:ascii="宋体" w:hAnsi="宋体" w:eastAsia="宋体"/>
          <w:sz w:val="21"/>
        </w:rPr>
        <w:t>中国</w:t>
      </w:r>
    </w:p>
    <w:p>
      <w:r>
        <w:rPr>
          <w:rFonts w:ascii="宋体" w:hAnsi="宋体" w:eastAsia="宋体"/>
          <w:b/>
          <w:sz w:val="21"/>
        </w:rPr>
        <w:t>省份/城市：</w:t>
      </w:r>
      <w:r>
        <w:rPr>
          <w:rFonts w:ascii="宋体" w:hAnsi="宋体" w:eastAsia="宋体"/>
          <w:sz w:val="21"/>
        </w:rPr>
        <w:t>成都</w:t>
      </w:r>
    </w:p>
    <w:p>
      <w:pPr>
        <w:pStyle w:val="Heading2"/>
      </w:pPr>
      <w:r>
        <w:t>软件详细信息</w:t>
      </w:r>
    </w:p>
    <w:p>
      <w:pPr>
        <w:pStyle w:val="Heading3"/>
      </w:pPr>
      <w:r>
        <w:t>硬件环境</w:t>
      </w:r>
    </w:p>
    <w:p>
      <w:pPr>
        <w:ind w:left="850"/>
      </w:pPr>
      <w:r>
        <w:rPr>
          <w:rFonts w:ascii="宋体" w:hAnsi="宋体" w:eastAsia="宋体"/>
          <w:sz w:val="21"/>
        </w:rPr>
        <w:t>PC机：Intel Core i7或同等规格处理器，RAM≥16GB，硬盘≥512GB。</w:t>
      </w:r>
    </w:p>
    <w:p>
      <w:pPr>
        <w:ind w:left="850"/>
      </w:pPr>
      <w:r>
        <w:rPr>
          <w:rFonts w:ascii="宋体" w:hAnsi="宋体" w:eastAsia="宋体"/>
          <w:sz w:val="21"/>
        </w:rPr>
        <w:t>服务端：x86 8核，RAM≥16GB，SSD≥512GB；或云主机同等规格。</w:t>
        <w:br/>
        <w:t>边缘网关：x86 四核，RAM≥8GB，SSD≥128GB，千兆以太网，支持MQTT/HTTP。</w:t>
        <w:br/>
        <w:t>客户端：普通办公PC（i5/8GB/256GB），支持Chrome/Edge浏览器。</w:t>
        <w:br/>
        <w:t>网络与供电：千兆交换机、UPS≥1KVA、PoE（如需）。</w:t>
      </w:r>
    </w:p>
    <w:p>
      <w:pPr>
        <w:pStyle w:val="Heading3"/>
      </w:pPr>
      <w:r>
        <w:t>软件环境</w:t>
      </w:r>
    </w:p>
    <w:p>
      <w:pPr>
        <w:ind w:left="850"/>
      </w:pPr>
      <w:r>
        <w:rPr>
          <w:rFonts w:ascii="宋体" w:hAnsi="宋体" w:eastAsia="宋体"/>
          <w:sz w:val="21"/>
        </w:rPr>
      </w:r>
    </w:p>
    <w:p>
      <w:r>
        <w:rPr>
          <w:rFonts w:ascii="宋体" w:hAnsi="宋体" w:eastAsia="宋体"/>
          <w:b/>
          <w:sz w:val="21"/>
        </w:rPr>
        <w:t>开发该软件的操作系统：</w:t>
      </w:r>
      <w:r>
        <w:rPr>
          <w:rFonts w:ascii="宋体" w:hAnsi="宋体" w:eastAsia="宋体"/>
          <w:sz w:val="21"/>
        </w:rPr>
        <w:t>Windows 11 / macOS 14</w:t>
      </w:r>
    </w:p>
    <w:p>
      <w:r>
        <w:rPr>
          <w:rFonts w:ascii="宋体" w:hAnsi="宋体" w:eastAsia="宋体"/>
          <w:b/>
          <w:sz w:val="21"/>
        </w:rPr>
        <w:t>软件开发环境/开发工具：</w:t>
      </w:r>
      <w:r>
        <w:rPr>
          <w:rFonts w:ascii="宋体" w:hAnsi="宋体" w:eastAsia="宋体"/>
          <w:sz w:val="21"/>
        </w:rPr>
        <w:t>Node.js 20.x、Vite、Vue 3、TypeScript 5.x、NestJS 10.x、pnpm/npm</w:t>
      </w:r>
    </w:p>
    <w:p>
      <w:r>
        <w:rPr>
          <w:rFonts w:ascii="宋体" w:hAnsi="宋体" w:eastAsia="宋体"/>
          <w:b/>
          <w:sz w:val="21"/>
        </w:rPr>
        <w:t>该软件的运行平台/操作系统：</w:t>
      </w:r>
      <w:r>
        <w:rPr>
          <w:rFonts w:ascii="宋体" w:hAnsi="宋体" w:eastAsia="宋体"/>
          <w:sz w:val="21"/>
        </w:rPr>
        <w:t>Linux（Ubuntu 22.04）</w:t>
      </w:r>
    </w:p>
    <w:p>
      <w:r>
        <w:rPr>
          <w:rFonts w:ascii="宋体" w:hAnsi="宋体" w:eastAsia="宋体"/>
          <w:b/>
          <w:sz w:val="21"/>
        </w:rPr>
        <w:t>软件运行支撑环境/支持软件：</w:t>
      </w:r>
      <w:r>
        <w:rPr>
          <w:rFonts w:ascii="宋体" w:hAnsi="宋体" w:eastAsia="宋体"/>
          <w:sz w:val="21"/>
        </w:rPr>
        <w:t>Nginx、PostgreSQL 15、Redis 7、MQTT Broker（EMQX/Mosquitto）、Docker</w:t>
      </w:r>
    </w:p>
    <w:p>
      <w:pPr>
        <w:pStyle w:val="Heading3"/>
      </w:pPr>
      <w:r>
        <w:t>编程语言</w:t>
      </w:r>
    </w:p>
    <w:p>
      <w:r>
        <w:rPr>
          <w:rFonts w:ascii="宋体" w:hAnsi="宋体" w:eastAsia="宋体"/>
          <w:b/>
          <w:sz w:val="21"/>
        </w:rPr>
        <w:t>编程语言：</w:t>
      </w:r>
      <w:r>
        <w:rPr>
          <w:rFonts w:ascii="宋体" w:hAnsi="宋体" w:eastAsia="宋体"/>
          <w:sz w:val="21"/>
        </w:rPr>
        <w:t>TypeScript 5.x</w:t>
      </w:r>
    </w:p>
    <w:p>
      <w:r>
        <w:rPr>
          <w:rFonts w:ascii="宋体" w:hAnsi="宋体" w:eastAsia="宋体"/>
          <w:b/>
          <w:sz w:val="21"/>
        </w:rPr>
        <w:t>源程序量：</w:t>
      </w:r>
      <w:r>
        <w:rPr>
          <w:rFonts w:ascii="宋体" w:hAnsi="宋体" w:eastAsia="宋体"/>
          <w:sz w:val="21"/>
        </w:rPr>
        <w:t>约3500行</w:t>
      </w:r>
    </w:p>
    <w:p>
      <w:pPr>
        <w:pStyle w:val="Heading3"/>
      </w:pPr>
      <w:r>
        <w:t>开发目的</w:t>
      </w:r>
    </w:p>
    <w:p>
      <w:r>
        <w:rPr>
          <w:rFonts w:ascii="宋体" w:hAnsi="宋体" w:eastAsia="宋体"/>
          <w:b/>
          <w:sz w:val="21"/>
        </w:rPr>
        <w:t>内容：</w:t>
      </w:r>
      <w:r>
        <w:rPr>
          <w:rFonts w:ascii="宋体" w:hAnsi="宋体" w:eastAsia="宋体"/>
          <w:sz w:val="21"/>
        </w:rPr>
        <w:t>实现园区能源消耗采集、监测告警、用能统计分析和双碳管理（碳排放核算、碳交易、碳足迹、达峰/中和预测）的一体化绿色能源管理。</w:t>
      </w:r>
    </w:p>
    <w:p>
      <w:pPr>
        <w:pStyle w:val="Heading3"/>
      </w:pPr>
      <w:r>
        <w:t>面向领域/行业</w:t>
      </w:r>
    </w:p>
    <w:p>
      <w:r>
        <w:rPr>
          <w:rFonts w:ascii="宋体" w:hAnsi="宋体" w:eastAsia="宋体"/>
          <w:b/>
          <w:sz w:val="21"/>
        </w:rPr>
        <w:t>内容：</w:t>
      </w:r>
      <w:r>
        <w:rPr>
          <w:rFonts w:ascii="宋体" w:hAnsi="宋体" w:eastAsia="宋体"/>
          <w:sz w:val="21"/>
        </w:rPr>
        <w:t>智慧楼宇、园区能源管理、碳排放管理与绿色低碳行业。</w:t>
      </w:r>
    </w:p>
    <w:p>
      <w:pPr>
        <w:pStyle w:val="Heading3"/>
      </w:pPr>
      <w:r>
        <w:t>软件主要功能</w:t>
      </w:r>
    </w:p>
    <w:p>
      <w:pPr>
        <w:ind w:left="850"/>
      </w:pPr>
      <w:r>
        <w:rPr>
          <w:rFonts w:ascii="宋体" w:hAnsi="宋体" w:eastAsia="宋体"/>
          <w:sz w:val="21"/>
        </w:rPr>
        <w:t>本软件实现园区能耗全流程管理与双碳管控，包括能耗采集（电耗采集/水耗采集两模块，支持表计台账管理与用能数据自动/手动采集录入）；能耗监测（告警阈值配置与告警事件管理，按月份和分项多维度用能统计分析）；能耗管理（用水监测分站点汇总、用电监测分公司尖峰平谷时段用电量与碳排放费用计算、基础台账支持楼宇/楼层/区域/分公司多维度关联、水气阶梯价格配置支持一档/二档/三档阶梯单价、用电尖峰平谷四时段价格配置与月度限额管理）；双碳管理（碳概览统计碳排放总量/直接排放/间接排放与历史趋势，碳交易管理支持核证减排量/绿证/CCER多类型交易记录，碳足迹管理支持产品碳足迹全生命周期记录与核查结论，双碳曲线支持模拟场景与规划场景的达峰/中和预测，动态评价计算单位面积与人均能耗指标，辅助决策管理节能投资方案与预期减碳效益评估，碳资产管理对比排放目标与实际排放缺口并展示碳交易趋势）。系统与设备台账深度集成，通过MQTT协议实现设备能耗数据的实时采集与告警联动触发。</w:t>
      </w:r>
    </w:p>
    <w:p>
      <w:pPr>
        <w:pStyle w:val="Heading3"/>
      </w:pPr>
      <w:r>
        <w:t>软件主要技术特点</w:t>
      </w:r>
    </w:p>
    <w:p>
      <w:pPr>
        <w:ind w:left="850"/>
      </w:pPr>
      <w:r>
        <w:rPr>
          <w:rFonts w:ascii="宋体" w:hAnsi="宋体" w:eastAsia="宋体"/>
          <w:sz w:val="21"/>
        </w:rPr>
      </w:r>
    </w:p>
    <w:p>
      <w:r>
        <w:rPr>
          <w:rFonts w:ascii="宋体" w:hAnsi="宋体" w:eastAsia="宋体"/>
          <w:b/>
          <w:sz w:val="21"/>
        </w:rPr>
        <w:t>分类：</w:t>
      </w:r>
      <w:r>
        <w:rPr>
          <w:rFonts w:ascii="宋体" w:hAnsi="宋体" w:eastAsia="宋体"/>
          <w:sz w:val="21"/>
        </w:rPr>
        <w:t>物联网软件 智慧城市软件 企业管理软件</w:t>
      </w:r>
    </w:p>
    <w:p>
      <w:pPr>
        <w:ind w:left="850"/>
      </w:pPr>
      <w:r>
        <w:rPr>
          <w:rFonts w:ascii="宋体" w:hAnsi="宋体" w:eastAsia="宋体"/>
          <w:sz w:val="21"/>
        </w:rPr>
        <w:t>采用Vue3+NestJS+TypeScript微服务架构，独立运行端口3016；基于MQTT协议订阅energy/#主题实现设备能耗数据的实时采集与告警联动；TypeORM多数据库适配支持MySQL/PostgreSQL/SQLite三种数据库无缝切换；RESTful API分五组共35个接口，完整覆盖能耗采集、监测告警、台账管理、价格配置和双碳管理全业务链路；水气价格引擎支持三档阶梯单价配置，按生效月份自动匹配对应价格方案；用电配置引擎支持尖峰平谷四时段分时电价与分公司月度用电限额管理；碳排放核算引擎内置国家电网平均排放因子（0.581 kgCO₂/kWh），自动计算间接排放量并生成碳概览报告；双碳曲线预测引擎按模拟场景（年节能3%）和规划场景（年节能5%）分别推算未来30年排放趋势；动态评价引擎按单位面积（kgace/m²）和人均能耗（kgace/人）两个维度评估能源使用效率，内置1 kWh=0.1229 kgce标准煤当量换算系数；碳资产管理模块整合碳交易总额、实际排放量和排放目标值，支持碳排放缺口分析与碳中和进度追踪。</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line="360" w:lineRule="auto"/>
      <w:outlineLvl w:val="0"/>
    </w:pPr>
    <w:rPr>
      <w:rFonts w:asciiTheme="majorHAnsi" w:eastAsiaTheme="majorEastAsia" w:hAnsiTheme="majorHAnsi" w:cstheme="majorBidi" w:ascii="黑体" w:hAnsi="黑体"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黑体" w:hAnsi="黑体"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160" w:after="120" w:line="360" w:lineRule="auto"/>
      <w:outlineLvl w:val="2"/>
    </w:pPr>
    <w:rPr>
      <w:rFonts w:asciiTheme="majorHAnsi" w:eastAsiaTheme="majorEastAsia" w:hAnsiTheme="majorHAnsi" w:cstheme="majorBidi" w:ascii="黑体" w:hAnsi="黑体"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