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Name: Jimmy Goh Han Jie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ID: 23A464A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Model file size and accuracy score comparison report.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Tensorflow model Epoch result.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As the 60 per class images are generally having the same features, the training converges quickly. Ie within 5 epochs.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From experimenting, further training of i.e. 10 /20 epochs resulted in model overfitting and high bias toward 1 class even when no images are presented for inference.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This is undesirable in our use case, as our intent is, if the model is not able inference with more than 70% confidence score, the robot should remain going straight.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35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u w:val="single"/>
          <w:rtl w:val="0"/>
        </w:rPr>
        <w:t xml:space="preserve">Tensorflow validation result.</w:t>
      </w:r>
      <w:r w:rsidDel="00000000" w:rsidR="00000000" w:rsidRPr="00000000">
        <w:rPr/>
        <w:drawing>
          <wp:inline distB="114300" distT="114300" distL="114300" distR="114300">
            <wp:extent cx="5943600" cy="53594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5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Model Size and accuracy score.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2.5M for model_quant.tflite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8.5M for model.tflite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tl w:val="0"/>
        </w:rPr>
        <w:t xml:space="preserve">Quantized model produces a similar accuracy score at a 3 time smaller file size. Hence we will use the Quantized model for our application.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4924377" cy="6281738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4377" cy="6281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