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5C7A" w:rsidRPr="00EE39DA" w:rsidRDefault="00EE39DA" w:rsidP="00EE39DA">
      <w:pPr>
        <w:spacing w:line="480" w:lineRule="auto"/>
        <w:jc w:val="center"/>
        <w:rPr>
          <w:rFonts w:ascii="Times New Roman" w:eastAsia="Times New Roman" w:hAnsi="Times New Roman" w:cs="Times New Roman"/>
          <w:sz w:val="36"/>
          <w:szCs w:val="36"/>
        </w:rPr>
      </w:pPr>
      <w:r w:rsidRPr="00EE39DA">
        <w:rPr>
          <w:rFonts w:ascii="Times New Roman" w:eastAsia="Times New Roman" w:hAnsi="Times New Roman" w:cs="Times New Roman"/>
          <w:sz w:val="36"/>
          <w:szCs w:val="36"/>
        </w:rPr>
        <w:t>Earnings Report Project: Written Report</w:t>
      </w:r>
    </w:p>
    <w:p w14:paraId="00000002" w14:textId="77777777" w:rsidR="00E45C7A" w:rsidRDefault="00EE39DA" w:rsidP="00EE3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Allyssa Utecht, Jimmy Horvath, and Andrew Plate</w:t>
      </w:r>
    </w:p>
    <w:p w14:paraId="00000003" w14:textId="77777777" w:rsidR="00E45C7A" w:rsidRDefault="00E45C7A">
      <w:pPr>
        <w:spacing w:line="480" w:lineRule="auto"/>
        <w:rPr>
          <w:rFonts w:ascii="Times New Roman" w:eastAsia="Times New Roman" w:hAnsi="Times New Roman" w:cs="Times New Roman"/>
          <w:sz w:val="24"/>
          <w:szCs w:val="24"/>
        </w:rPr>
      </w:pPr>
    </w:p>
    <w:p w14:paraId="00000004" w14:textId="77777777" w:rsidR="00E45C7A" w:rsidRDefault="00EE39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the Earnings Report Project, our group began by brainstorming approaches to find indicators in market reactions based on highlights from the MD&amp;A. After reviewing the </w:t>
      </w:r>
      <w:proofErr w:type="gramStart"/>
      <w:r>
        <w:rPr>
          <w:rFonts w:ascii="Times New Roman" w:eastAsia="Times New Roman" w:hAnsi="Times New Roman" w:cs="Times New Roman"/>
          <w:sz w:val="24"/>
          <w:szCs w:val="24"/>
        </w:rPr>
        <w:t>content</w:t>
      </w:r>
      <w:proofErr w:type="gramEnd"/>
      <w:r>
        <w:rPr>
          <w:rFonts w:ascii="Times New Roman" w:eastAsia="Times New Roman" w:hAnsi="Times New Roman" w:cs="Times New Roman"/>
          <w:sz w:val="24"/>
          <w:szCs w:val="24"/>
        </w:rPr>
        <w:t xml:space="preserve"> we reviewed for our class and using our best judgment, our group decided that the sentiment analysis of sentences would be our leading indicator. Within the MD&amp;A, we wanted to analyze the first three sentences and the last sentence. Our research found that “it was not the sentiment of the annual report itself, but the change in sen</w:t>
      </w:r>
      <w:r>
        <w:rPr>
          <w:rFonts w:ascii="Times New Roman" w:eastAsia="Times New Roman" w:hAnsi="Times New Roman" w:cs="Times New Roman"/>
          <w:sz w:val="24"/>
          <w:szCs w:val="24"/>
        </w:rPr>
        <w:t xml:space="preserve">timent that was most important”. </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Our group felt that the introduction and conclusion to the document would hold more weight than the </w:t>
      </w:r>
      <w:proofErr w:type="gramStart"/>
      <w:r>
        <w:rPr>
          <w:rFonts w:ascii="Times New Roman" w:eastAsia="Times New Roman" w:hAnsi="Times New Roman" w:cs="Times New Roman"/>
          <w:sz w:val="24"/>
          <w:szCs w:val="24"/>
        </w:rPr>
        <w:t>middle, and</w:t>
      </w:r>
      <w:proofErr w:type="gramEnd"/>
      <w:r>
        <w:rPr>
          <w:rFonts w:ascii="Times New Roman" w:eastAsia="Times New Roman" w:hAnsi="Times New Roman" w:cs="Times New Roman"/>
          <w:sz w:val="24"/>
          <w:szCs w:val="24"/>
        </w:rPr>
        <w:t xml:space="preserve"> could pick up on any change in sentiment from beginning to end. </w:t>
      </w:r>
    </w:p>
    <w:p w14:paraId="00000005" w14:textId="77777777"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wanted to implement another aspect of sentiment analysis with a lexicon of single words. Our group believed we could find a set of words, both positive and negative, that could be picked out of the MD&amp;A and correlate with earnings persistence, as “the transparency of a lexicon-based approach represents a significant advantage in fields such as economics and finance, where stakeholders favor the clear interpretability of the methods and outcomes.”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Additionally, if implemented correctly, a single-word lexicon can remove human interpretation to give a score solely based on the words alone. Next, our group decided the fog index would be an essential indicator to include within our model through conducting research and reviewing the second homework for class. MD&amp;</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that are "foggier" or harder to read are less persistent with their earnings, whether the author is doing this on purpose.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latter aspect </w:t>
      </w:r>
      <w:r>
        <w:rPr>
          <w:rFonts w:ascii="Times New Roman" w:eastAsia="Times New Roman" w:hAnsi="Times New Roman" w:cs="Times New Roman"/>
          <w:sz w:val="24"/>
          <w:szCs w:val="24"/>
        </w:rPr>
        <w:lastRenderedPageBreak/>
        <w:t xml:space="preserve">is crucial, as it allows our methodology to work without human bias. Whether the author is bogging down the document on purpose or solely attempting to explain poor performance better, the model would read it with the same negativity or positivity. Our group also wanted to include the firm and market performance five days prior to the release of the MD&amp;A. This would give us the best real-time indicator of our desired firm's performance and </w:t>
      </w:r>
      <w:proofErr w:type="gramStart"/>
      <w:r>
        <w:rPr>
          <w:rFonts w:ascii="Times New Roman" w:eastAsia="Times New Roman" w:hAnsi="Times New Roman" w:cs="Times New Roman"/>
          <w:sz w:val="24"/>
          <w:szCs w:val="24"/>
        </w:rPr>
        <w:t>future outlook</w:t>
      </w:r>
      <w:proofErr w:type="gramEnd"/>
      <w:r>
        <w:rPr>
          <w:rFonts w:ascii="Times New Roman" w:eastAsia="Times New Roman" w:hAnsi="Times New Roman" w:cs="Times New Roman"/>
          <w:sz w:val="24"/>
          <w:szCs w:val="24"/>
        </w:rPr>
        <w:t xml:space="preserve">. </w:t>
      </w:r>
    </w:p>
    <w:p w14:paraId="00000006" w14:textId="77777777" w:rsidR="00E45C7A" w:rsidRDefault="00EE39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brainstorming various indicators and building our primary model, with the help of Professor </w:t>
      </w:r>
      <w:proofErr w:type="spellStart"/>
      <w:r>
        <w:rPr>
          <w:rFonts w:ascii="Times New Roman" w:eastAsia="Times New Roman" w:hAnsi="Times New Roman" w:cs="Times New Roman"/>
          <w:sz w:val="24"/>
          <w:szCs w:val="24"/>
        </w:rPr>
        <w:t>Davis’</w:t>
      </w:r>
      <w:proofErr w:type="spellEnd"/>
      <w:r>
        <w:rPr>
          <w:rFonts w:ascii="Times New Roman" w:eastAsia="Times New Roman" w:hAnsi="Times New Roman" w:cs="Times New Roman"/>
          <w:sz w:val="24"/>
          <w:szCs w:val="24"/>
        </w:rPr>
        <w:t xml:space="preserve"> model, our group realized adjustments needed to be made with the sentiment analysis of the MD&amp;A. With a suggestion from Professor Davis, we realized that not all MD&amp;</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had a third sentence to analyze, returning an error when the code was run. We fixed this by adding a “try” and “pass” function to negate any MD&amp;A that does not have a third sentence, allowing the code to keep running. </w:t>
      </w:r>
    </w:p>
    <w:p w14:paraId="00000007" w14:textId="77777777"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our group realized the need for bigrams within our lexicon-based sentiment analysis. After digging through various sample MD&amp;As, we found that most contain the word “COVID-19”, providing a strong indicator of a negative year. If firms are doing poorly in a global downturn, our group considers them more likely to use the event as an excuse for financial failures. On the contrary, firms performing financially well in these times are more likely to focus on proudly and perhaps overconfidently providing e</w:t>
      </w:r>
      <w:r>
        <w:rPr>
          <w:rFonts w:ascii="Times New Roman" w:eastAsia="Times New Roman" w:hAnsi="Times New Roman" w:cs="Times New Roman"/>
          <w:sz w:val="24"/>
          <w:szCs w:val="24"/>
        </w:rPr>
        <w:t xml:space="preserve">vidence for firm success despite global challenges, in opposition to mentioning how “COVID-19” impacted business. The phrases “strategic advancement” and “increased revenue” were also added, because while specific, provide strong indicators of positive earnings. We also tweaked the weights of the sentiment analysis and fog index of our code to better match their indicators. </w:t>
      </w:r>
    </w:p>
    <w:p w14:paraId="00000008" w14:textId="77777777"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final model began by setting the score to a baseline of zero. The subsequent functions either added to or subtracted from that score, based on a variety of predictors. First, we </w:t>
      </w:r>
      <w:r>
        <w:rPr>
          <w:rFonts w:ascii="Times New Roman" w:eastAsia="Times New Roman" w:hAnsi="Times New Roman" w:cs="Times New Roman"/>
          <w:sz w:val="24"/>
          <w:szCs w:val="24"/>
        </w:rPr>
        <w:lastRenderedPageBreak/>
        <w:t xml:space="preserve">thought the first three sentences and the last sentence of the MD&amp;A carried much weight towards an indicator of earnings persistence. The tokenization of the first sentence is multiplied by three, because it most likely offers a summary of the MD&amp;A. Most standard writing structures include topic sentences to introduce what is to follow, carrying more weight than the following sentences. The second sentence is multiplied by two for the same </w:t>
      </w:r>
      <w:proofErr w:type="gramStart"/>
      <w:r>
        <w:rPr>
          <w:rFonts w:ascii="Times New Roman" w:eastAsia="Times New Roman" w:hAnsi="Times New Roman" w:cs="Times New Roman"/>
          <w:sz w:val="24"/>
          <w:szCs w:val="24"/>
        </w:rPr>
        <w:t>reason, but</w:t>
      </w:r>
      <w:proofErr w:type="gramEnd"/>
      <w:r>
        <w:rPr>
          <w:rFonts w:ascii="Times New Roman" w:eastAsia="Times New Roman" w:hAnsi="Times New Roman" w:cs="Times New Roman"/>
          <w:sz w:val="24"/>
          <w:szCs w:val="24"/>
        </w:rPr>
        <w:t xml:space="preserve"> holds less weight than the first sentence. The scores of</w:t>
      </w:r>
      <w:r>
        <w:rPr>
          <w:rFonts w:ascii="Times New Roman" w:eastAsia="Times New Roman" w:hAnsi="Times New Roman" w:cs="Times New Roman"/>
          <w:sz w:val="24"/>
          <w:szCs w:val="24"/>
        </w:rPr>
        <w:t xml:space="preserve"> the third and last sentences are not multiplied, as they offer insight into the MD&amp;A but do not hold as much weight as the first couple sentences. Because of this, a fog index would be able to analyze the first sentence and its clarity. If the first sentence is “foggy” and indicates the rest of the MD&amp;A to be negative, then the function will correlate it as such through the increased weight in the function. </w:t>
      </w:r>
    </w:p>
    <w:p w14:paraId="00000009" w14:textId="77777777"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section of code adjusts the score depending on the firm and market performance of the previous five days. These lines are run under ‘if’ statements to accept the possibility of market performance and firm performance being above or below zero. These scores are multiplied by </w:t>
      </w:r>
      <w:proofErr w:type="gramStart"/>
      <w:r>
        <w:rPr>
          <w:rFonts w:ascii="Times New Roman" w:eastAsia="Times New Roman" w:hAnsi="Times New Roman" w:cs="Times New Roman"/>
          <w:sz w:val="24"/>
          <w:szCs w:val="24"/>
        </w:rPr>
        <w:t>one-hundred</w:t>
      </w:r>
      <w:proofErr w:type="gramEnd"/>
      <w:r>
        <w:rPr>
          <w:rFonts w:ascii="Times New Roman" w:eastAsia="Times New Roman" w:hAnsi="Times New Roman" w:cs="Times New Roman"/>
          <w:sz w:val="24"/>
          <w:szCs w:val="24"/>
        </w:rPr>
        <w:t xml:space="preserve"> because the performance is a very small number. Removing some of the decimals was necessary to emphasize the impact of prior performance on future market reaction. </w:t>
      </w:r>
    </w:p>
    <w:p w14:paraId="0000000A" w14:textId="77777777"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last section of text analysis is the lexicon tokenizer (analysis). In the positive list, there are twenty-nine words, while in the negative there are twenty-seven words. Additionally, two positive phrases and one negative phrase are added to the lexicon. These positive words and phrases are multiplied by two, while their negative counterparts are multiplied by three. We chose these factors due to negativity bias, where humans commonly place more significance on negative events rather than on po</w:t>
      </w:r>
      <w:r>
        <w:rPr>
          <w:rFonts w:ascii="Times New Roman" w:eastAsia="Times New Roman" w:hAnsi="Times New Roman" w:cs="Times New Roman"/>
          <w:sz w:val="24"/>
          <w:szCs w:val="24"/>
        </w:rPr>
        <w:t>sitive ones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14:paraId="0000000B" w14:textId="171452DB" w:rsidR="00E45C7A" w:rsidRDefault="00EE39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Looking </w:t>
      </w:r>
      <w:proofErr w:type="gramStart"/>
      <w:r>
        <w:rPr>
          <w:rFonts w:ascii="Times New Roman" w:eastAsia="Times New Roman" w:hAnsi="Times New Roman" w:cs="Times New Roman"/>
          <w:sz w:val="24"/>
          <w:szCs w:val="24"/>
        </w:rPr>
        <w:t>forward,</w:t>
      </w:r>
      <w:proofErr w:type="gramEnd"/>
      <w:r>
        <w:rPr>
          <w:rFonts w:ascii="Times New Roman" w:eastAsia="Times New Roman" w:hAnsi="Times New Roman" w:cs="Times New Roman"/>
          <w:sz w:val="24"/>
          <w:szCs w:val="24"/>
        </w:rPr>
        <w:t xml:space="preserve"> when our model is tested on MD&amp;As that we have not seen before, we expect our model to perform relatively well. It was imperfect in predicting market reaction on the models we had already seen. Although</w:t>
      </w:r>
      <w:r>
        <w:rPr>
          <w:rFonts w:ascii="Times New Roman" w:eastAsia="Times New Roman" w:hAnsi="Times New Roman" w:cs="Times New Roman"/>
          <w:sz w:val="24"/>
          <w:szCs w:val="24"/>
        </w:rPr>
        <w:t>, it was overall more correct than not, so we expect it to perform similarly on new text. Perhaps our model would struggle identifying companies with vague topic sentences or introductions having nothing to do with firm performance.</w:t>
      </w:r>
      <w:r>
        <w:rPr>
          <w:rFonts w:ascii="Times New Roman" w:eastAsia="Times New Roman" w:hAnsi="Times New Roman" w:cs="Times New Roman"/>
          <w:sz w:val="24"/>
          <w:szCs w:val="24"/>
        </w:rPr>
        <w:t xml:space="preserve"> Thus</w:t>
      </w:r>
      <w:r>
        <w:rPr>
          <w:rFonts w:ascii="Times New Roman" w:eastAsia="Times New Roman" w:hAnsi="Times New Roman" w:cs="Times New Roman"/>
          <w:sz w:val="24"/>
          <w:szCs w:val="24"/>
        </w:rPr>
        <w:t xml:space="preserve">, it truly depends on which MD&amp;As the model analyzes and how they are formatted. </w:t>
      </w:r>
    </w:p>
    <w:p w14:paraId="0000000C" w14:textId="77777777" w:rsidR="00E45C7A" w:rsidRDefault="00EE39DA">
      <w:pPr>
        <w:jc w:val="center"/>
        <w:rPr>
          <w:rFonts w:ascii="Times New Roman" w:eastAsia="Times New Roman" w:hAnsi="Times New Roman" w:cs="Times New Roman"/>
          <w:sz w:val="24"/>
          <w:szCs w:val="24"/>
        </w:rPr>
      </w:pPr>
      <w:r>
        <w:br w:type="page"/>
      </w:r>
    </w:p>
    <w:p w14:paraId="0000000D" w14:textId="77777777" w:rsidR="00E45C7A" w:rsidRDefault="00EE39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0E" w14:textId="77777777" w:rsidR="00E45C7A" w:rsidRDefault="00E45C7A">
      <w:pPr>
        <w:rPr>
          <w:rFonts w:ascii="Times New Roman" w:eastAsia="Times New Roman" w:hAnsi="Times New Roman" w:cs="Times New Roman"/>
          <w:sz w:val="24"/>
          <w:szCs w:val="24"/>
        </w:rPr>
      </w:pPr>
    </w:p>
    <w:p w14:paraId="0000000F"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Consoli, S., Barbaglia, L., &amp; Manzan, S. (2022). Fine-grained, aspect-based sentiment analysis on economic and financial lexicon. </w:t>
      </w:r>
      <w:r>
        <w:rPr>
          <w:rFonts w:ascii="Times New Roman" w:eastAsia="Times New Roman" w:hAnsi="Times New Roman" w:cs="Times New Roman"/>
          <w:i/>
          <w:sz w:val="24"/>
          <w:szCs w:val="24"/>
        </w:rPr>
        <w:t>Knowledge-Based Systems</w:t>
      </w:r>
      <w:r>
        <w:rPr>
          <w:rFonts w:ascii="Times New Roman" w:eastAsia="Times New Roman" w:hAnsi="Times New Roman" w:cs="Times New Roman"/>
          <w:sz w:val="24"/>
          <w:szCs w:val="24"/>
        </w:rPr>
        <w:t xml:space="preserve">, 108781. </w:t>
      </w:r>
      <w:hyperlink r:id="rId6">
        <w:r>
          <w:rPr>
            <w:rFonts w:ascii="Times New Roman" w:eastAsia="Times New Roman" w:hAnsi="Times New Roman" w:cs="Times New Roman"/>
            <w:sz w:val="24"/>
            <w:szCs w:val="24"/>
            <w:u w:val="single"/>
          </w:rPr>
          <w:t>https://doi.org/10.1016/j.knosys.2022.108781</w:t>
        </w:r>
      </w:hyperlink>
    </w:p>
    <w:p w14:paraId="00000010" w14:textId="77777777" w:rsidR="00E45C7A" w:rsidRDefault="00E45C7A">
      <w:pPr>
        <w:spacing w:line="480" w:lineRule="auto"/>
        <w:ind w:left="720"/>
        <w:rPr>
          <w:rFonts w:ascii="Times New Roman" w:eastAsia="Times New Roman" w:hAnsi="Times New Roman" w:cs="Times New Roman"/>
          <w:sz w:val="24"/>
          <w:szCs w:val="24"/>
        </w:rPr>
      </w:pPr>
    </w:p>
    <w:p w14:paraId="00000011"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Souza, J. A. S., </w:t>
      </w:r>
      <w:proofErr w:type="spellStart"/>
      <w:r>
        <w:rPr>
          <w:rFonts w:ascii="Times New Roman" w:eastAsia="Times New Roman" w:hAnsi="Times New Roman" w:cs="Times New Roman"/>
          <w:sz w:val="24"/>
          <w:szCs w:val="24"/>
        </w:rPr>
        <w:t>Rissatti</w:t>
      </w:r>
      <w:proofErr w:type="spellEnd"/>
      <w:r>
        <w:rPr>
          <w:rFonts w:ascii="Times New Roman" w:eastAsia="Times New Roman" w:hAnsi="Times New Roman" w:cs="Times New Roman"/>
          <w:sz w:val="24"/>
          <w:szCs w:val="24"/>
        </w:rPr>
        <w:t xml:space="preserve">, J. C., Rover, S., &amp; Borba, J. A. (2019). The linguistic complexities of narrative accounting disclosure on financial statements: An analysis based on readability characteristics. </w:t>
      </w:r>
      <w:r>
        <w:rPr>
          <w:rFonts w:ascii="Times New Roman" w:eastAsia="Times New Roman" w:hAnsi="Times New Roman" w:cs="Times New Roman"/>
          <w:i/>
          <w:sz w:val="24"/>
          <w:szCs w:val="24"/>
        </w:rPr>
        <w:t>Research in International Business and Finance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 59–74. </w:t>
      </w:r>
      <w:hyperlink r:id="rId7">
        <w:r>
          <w:rPr>
            <w:rFonts w:ascii="Times New Roman" w:eastAsia="Times New Roman" w:hAnsi="Times New Roman" w:cs="Times New Roman"/>
            <w:sz w:val="24"/>
            <w:szCs w:val="24"/>
            <w:u w:val="single"/>
          </w:rPr>
          <w:t>https://doi.org/10.1016/j.ribaf.2018.12.008</w:t>
        </w:r>
      </w:hyperlink>
    </w:p>
    <w:p w14:paraId="00000012" w14:textId="77777777" w:rsidR="00E45C7A" w:rsidRDefault="00E45C7A">
      <w:pPr>
        <w:spacing w:line="480" w:lineRule="auto"/>
        <w:ind w:left="720"/>
        <w:rPr>
          <w:rFonts w:ascii="Times New Roman" w:eastAsia="Times New Roman" w:hAnsi="Times New Roman" w:cs="Times New Roman"/>
          <w:sz w:val="24"/>
          <w:szCs w:val="24"/>
        </w:rPr>
      </w:pPr>
    </w:p>
    <w:p w14:paraId="00000013"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Hajek, P., </w:t>
      </w:r>
      <w:proofErr w:type="spellStart"/>
      <w:r>
        <w:rPr>
          <w:rFonts w:ascii="Times New Roman" w:eastAsia="Times New Roman" w:hAnsi="Times New Roman" w:cs="Times New Roman"/>
          <w:sz w:val="24"/>
          <w:szCs w:val="24"/>
        </w:rPr>
        <w:t>Olej</w:t>
      </w:r>
      <w:proofErr w:type="spellEnd"/>
      <w:r>
        <w:rPr>
          <w:rFonts w:ascii="Times New Roman" w:eastAsia="Times New Roman" w:hAnsi="Times New Roman" w:cs="Times New Roman"/>
          <w:sz w:val="24"/>
          <w:szCs w:val="24"/>
        </w:rPr>
        <w:t xml:space="preserve">, V., &amp; </w:t>
      </w:r>
      <w:proofErr w:type="spellStart"/>
      <w:r>
        <w:rPr>
          <w:rFonts w:ascii="Times New Roman" w:eastAsia="Times New Roman" w:hAnsi="Times New Roman" w:cs="Times New Roman"/>
          <w:sz w:val="24"/>
          <w:szCs w:val="24"/>
        </w:rPr>
        <w:t>Myskova</w:t>
      </w:r>
      <w:proofErr w:type="spellEnd"/>
      <w:r>
        <w:rPr>
          <w:rFonts w:ascii="Times New Roman" w:eastAsia="Times New Roman" w:hAnsi="Times New Roman" w:cs="Times New Roman"/>
          <w:sz w:val="24"/>
          <w:szCs w:val="24"/>
        </w:rPr>
        <w:t xml:space="preserve">, R. (2013, October). </w:t>
      </w:r>
      <w:r>
        <w:rPr>
          <w:rFonts w:ascii="Times New Roman" w:eastAsia="Times New Roman" w:hAnsi="Times New Roman" w:cs="Times New Roman"/>
          <w:i/>
          <w:sz w:val="24"/>
          <w:szCs w:val="24"/>
        </w:rPr>
        <w:t>Forecasting Stock Prices using Sentiment Information in Annual Reports – A Neural Network and Support Vector Regression Approach</w:t>
      </w:r>
      <w:r>
        <w:rPr>
          <w:rFonts w:ascii="Times New Roman" w:eastAsia="Times New Roman" w:hAnsi="Times New Roman" w:cs="Times New Roman"/>
          <w:sz w:val="24"/>
          <w:szCs w:val="24"/>
        </w:rPr>
        <w:t xml:space="preserve"> [Review of </w:t>
      </w:r>
      <w:r>
        <w:rPr>
          <w:rFonts w:ascii="Times New Roman" w:eastAsia="Times New Roman" w:hAnsi="Times New Roman" w:cs="Times New Roman"/>
          <w:i/>
          <w:sz w:val="24"/>
          <w:szCs w:val="24"/>
        </w:rPr>
        <w:t>Forecasting Stock Prices using Sentiment Information in Annual Reports – A Neural Network and Support Vector Regression Approach</w:t>
      </w:r>
      <w:r>
        <w:rPr>
          <w:rFonts w:ascii="Times New Roman" w:eastAsia="Times New Roman" w:hAnsi="Times New Roman" w:cs="Times New Roman"/>
          <w:sz w:val="24"/>
          <w:szCs w:val="24"/>
        </w:rPr>
        <w:t xml:space="preserve">]. WSEAS TRANSACTIONS on BUSINESS and ECONOMICS. </w:t>
      </w:r>
      <w:hyperlink r:id="rId8">
        <w:r>
          <w:rPr>
            <w:rFonts w:ascii="Times New Roman" w:eastAsia="Times New Roman" w:hAnsi="Times New Roman" w:cs="Times New Roman"/>
            <w:sz w:val="24"/>
            <w:szCs w:val="24"/>
            <w:u w:val="single"/>
          </w:rPr>
          <w:t>https://www.wseas.org/multimedia/journals/economics/2013/235702-202.pd</w:t>
        </w:r>
      </w:hyperlink>
      <w:r>
        <w:rPr>
          <w:rFonts w:ascii="Times New Roman" w:eastAsia="Times New Roman" w:hAnsi="Times New Roman" w:cs="Times New Roman"/>
          <w:sz w:val="24"/>
          <w:szCs w:val="24"/>
        </w:rPr>
        <w:t>f</w:t>
      </w:r>
    </w:p>
    <w:p w14:paraId="00000014" w14:textId="77777777" w:rsidR="00E45C7A" w:rsidRDefault="00E45C7A">
      <w:pPr>
        <w:spacing w:line="480" w:lineRule="auto"/>
        <w:ind w:left="720"/>
        <w:rPr>
          <w:rFonts w:ascii="Times New Roman" w:eastAsia="Times New Roman" w:hAnsi="Times New Roman" w:cs="Times New Roman"/>
          <w:sz w:val="24"/>
          <w:szCs w:val="24"/>
        </w:rPr>
      </w:pPr>
    </w:p>
    <w:p w14:paraId="00000015"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Henry, E. (2006). Market Reaction to Verbal Components of Earnings Press Releases: Event Study Using a Predictive Algorithm. </w:t>
      </w:r>
      <w:r>
        <w:rPr>
          <w:rFonts w:ascii="Times New Roman" w:eastAsia="Times New Roman" w:hAnsi="Times New Roman" w:cs="Times New Roman"/>
          <w:i/>
          <w:sz w:val="24"/>
          <w:szCs w:val="24"/>
        </w:rPr>
        <w:t>Journal of Emerging Technologies in Accounting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(1), 1–19. </w:t>
      </w:r>
      <w:hyperlink r:id="rId9">
        <w:r>
          <w:rPr>
            <w:rFonts w:ascii="Times New Roman" w:eastAsia="Times New Roman" w:hAnsi="Times New Roman" w:cs="Times New Roman"/>
            <w:sz w:val="24"/>
            <w:szCs w:val="24"/>
            <w:u w:val="single"/>
          </w:rPr>
          <w:t>https://doi.org/10.2308/jeta.2006.3.1.1</w:t>
        </w:r>
      </w:hyperlink>
    </w:p>
    <w:p w14:paraId="00000016" w14:textId="77777777" w:rsidR="00E45C7A" w:rsidRDefault="00E45C7A">
      <w:pPr>
        <w:spacing w:line="480" w:lineRule="auto"/>
        <w:ind w:left="720"/>
        <w:rPr>
          <w:rFonts w:ascii="Times New Roman" w:eastAsia="Times New Roman" w:hAnsi="Times New Roman" w:cs="Times New Roman"/>
          <w:sz w:val="24"/>
          <w:szCs w:val="24"/>
        </w:rPr>
      </w:pPr>
    </w:p>
    <w:p w14:paraId="00000017"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 F. (2008). Annual report readability, current earnings, and earnings persistence. </w:t>
      </w:r>
      <w:r>
        <w:rPr>
          <w:rFonts w:ascii="Times New Roman" w:eastAsia="Times New Roman" w:hAnsi="Times New Roman" w:cs="Times New Roman"/>
          <w:i/>
          <w:sz w:val="24"/>
          <w:szCs w:val="24"/>
        </w:rPr>
        <w:t>Journal of Accounting and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 xml:space="preserve">(2-3), 221–247. </w:t>
      </w:r>
      <w:hyperlink r:id="rId10">
        <w:r>
          <w:rPr>
            <w:rFonts w:ascii="Times New Roman" w:eastAsia="Times New Roman" w:hAnsi="Times New Roman" w:cs="Times New Roman"/>
            <w:sz w:val="24"/>
            <w:szCs w:val="24"/>
            <w:u w:val="single"/>
          </w:rPr>
          <w:t>https://doi.org/10.1016/j.jacceco.2008.02.003</w:t>
        </w:r>
      </w:hyperlink>
    </w:p>
    <w:p w14:paraId="00000018" w14:textId="77777777" w:rsidR="00E45C7A" w:rsidRDefault="00E45C7A">
      <w:pPr>
        <w:spacing w:line="480" w:lineRule="auto"/>
        <w:ind w:left="720"/>
        <w:rPr>
          <w:rFonts w:ascii="Times New Roman" w:eastAsia="Times New Roman" w:hAnsi="Times New Roman" w:cs="Times New Roman"/>
          <w:sz w:val="24"/>
          <w:szCs w:val="24"/>
        </w:rPr>
      </w:pPr>
    </w:p>
    <w:p w14:paraId="00000019"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OpenAI. (2023). </w:t>
      </w:r>
      <w:r>
        <w:rPr>
          <w:rFonts w:ascii="Times New Roman" w:eastAsia="Times New Roman" w:hAnsi="Times New Roman" w:cs="Times New Roman"/>
          <w:i/>
          <w:sz w:val="24"/>
          <w:szCs w:val="24"/>
        </w:rPr>
        <w:t>ChatGPT</w:t>
      </w:r>
      <w:r>
        <w:rPr>
          <w:rFonts w:ascii="Times New Roman" w:eastAsia="Times New Roman" w:hAnsi="Times New Roman" w:cs="Times New Roman"/>
          <w:sz w:val="24"/>
          <w:szCs w:val="24"/>
        </w:rPr>
        <w:t xml:space="preserve"> (November 10 version) [Large language model].</w:t>
      </w:r>
    </w:p>
    <w:p w14:paraId="0000001A" w14:textId="77777777" w:rsidR="00E45C7A" w:rsidRDefault="00E45C7A">
      <w:pPr>
        <w:spacing w:line="480" w:lineRule="auto"/>
        <w:ind w:left="720"/>
        <w:rPr>
          <w:rFonts w:ascii="Times New Roman" w:eastAsia="Times New Roman" w:hAnsi="Times New Roman" w:cs="Times New Roman"/>
          <w:sz w:val="24"/>
          <w:szCs w:val="24"/>
        </w:rPr>
      </w:pPr>
    </w:p>
    <w:p w14:paraId="0000001B"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Yekini, L. S., Wisniewski, T. P., &amp; Millo, Y. (2016). Market reaction to the positiveness of annual report narratives. </w:t>
      </w:r>
      <w:r>
        <w:rPr>
          <w:rFonts w:ascii="Times New Roman" w:eastAsia="Times New Roman" w:hAnsi="Times New Roman" w:cs="Times New Roman"/>
          <w:i/>
          <w:sz w:val="24"/>
          <w:szCs w:val="24"/>
        </w:rPr>
        <w:t>The British Accounting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(4), 415–430. </w:t>
      </w:r>
      <w:hyperlink r:id="rId11">
        <w:r>
          <w:rPr>
            <w:rFonts w:ascii="Times New Roman" w:eastAsia="Times New Roman" w:hAnsi="Times New Roman" w:cs="Times New Roman"/>
            <w:sz w:val="24"/>
            <w:szCs w:val="24"/>
            <w:u w:val="single"/>
          </w:rPr>
          <w:t>https://doi.org/10.1016/j.bar.2015.12.001</w:t>
        </w:r>
      </w:hyperlink>
    </w:p>
    <w:p w14:paraId="0000001C" w14:textId="77777777" w:rsidR="00E45C7A" w:rsidRDefault="00E45C7A">
      <w:pPr>
        <w:spacing w:line="480" w:lineRule="auto"/>
        <w:ind w:left="720"/>
        <w:rPr>
          <w:rFonts w:ascii="Times New Roman" w:eastAsia="Times New Roman" w:hAnsi="Times New Roman" w:cs="Times New Roman"/>
          <w:sz w:val="24"/>
          <w:szCs w:val="24"/>
        </w:rPr>
      </w:pPr>
    </w:p>
    <w:p w14:paraId="0000001D" w14:textId="77777777" w:rsidR="00E45C7A" w:rsidRDefault="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Vaish, A., Grossmann, T., &amp; Woodward, A. (2008). Not all emotions are created equal: The negativity bias in social-emotional development.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134</w:t>
      </w:r>
      <w:r>
        <w:rPr>
          <w:rFonts w:ascii="Times New Roman" w:eastAsia="Times New Roman" w:hAnsi="Times New Roman" w:cs="Times New Roman"/>
          <w:sz w:val="24"/>
          <w:szCs w:val="24"/>
        </w:rPr>
        <w:t xml:space="preserve">(3), 383–403. </w:t>
      </w:r>
      <w:hyperlink r:id="rId12">
        <w:r>
          <w:rPr>
            <w:rFonts w:ascii="Times New Roman" w:eastAsia="Times New Roman" w:hAnsi="Times New Roman" w:cs="Times New Roman"/>
            <w:sz w:val="24"/>
            <w:szCs w:val="24"/>
            <w:u w:val="single"/>
          </w:rPr>
          <w:t>https://doi.org/10.1037/0033-2909.134.3.383</w:t>
        </w:r>
      </w:hyperlink>
    </w:p>
    <w:p w14:paraId="0000001E" w14:textId="77777777" w:rsidR="00E45C7A" w:rsidRDefault="00E45C7A">
      <w:pPr>
        <w:spacing w:line="480" w:lineRule="auto"/>
        <w:ind w:left="720"/>
        <w:rPr>
          <w:rFonts w:ascii="Times New Roman" w:eastAsia="Times New Roman" w:hAnsi="Times New Roman" w:cs="Times New Roman"/>
          <w:sz w:val="24"/>
          <w:szCs w:val="24"/>
        </w:rPr>
      </w:pPr>
    </w:p>
    <w:p w14:paraId="0000002E" w14:textId="6513A19C" w:rsidR="00E45C7A" w:rsidRPr="00EE39DA" w:rsidRDefault="00EE39DA" w:rsidP="00EE39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Zhong, N., &amp; Ren, J. (2022). Using sentiment analysis to study the relationship between subjective expression in financial reports and company performance.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sz w:val="24"/>
            <w:szCs w:val="24"/>
            <w:u w:val="single"/>
          </w:rPr>
          <w:t>https://doi.org/10.3389/fpsyg.2022.949881</w:t>
        </w:r>
      </w:hyperlink>
    </w:p>
    <w:sectPr w:rsidR="00E45C7A" w:rsidRPr="00EE39D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90FE" w14:textId="77777777" w:rsidR="00EE39DA" w:rsidRDefault="00EE39DA">
      <w:pPr>
        <w:spacing w:line="240" w:lineRule="auto"/>
      </w:pPr>
      <w:r>
        <w:separator/>
      </w:r>
    </w:p>
  </w:endnote>
  <w:endnote w:type="continuationSeparator" w:id="0">
    <w:p w14:paraId="41708160" w14:textId="77777777" w:rsidR="00EE39DA" w:rsidRDefault="00EE3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E45C7A" w:rsidRDefault="00E45C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E45C7A" w:rsidRDefault="00E45C7A">
    <w:pPr>
      <w:rPr>
        <w:rFonts w:ascii="Times New Roman" w:eastAsia="Times New Roman" w:hAnsi="Times New Roman" w:cs="Times New Roman"/>
        <w:sz w:val="24"/>
        <w:szCs w:val="24"/>
      </w:rPr>
    </w:pPr>
  </w:p>
  <w:p w14:paraId="00000033" w14:textId="77777777" w:rsidR="00E45C7A" w:rsidRDefault="00E45C7A">
    <w:pPr>
      <w:rPr>
        <w:rFonts w:ascii="Times New Roman" w:eastAsia="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E45C7A" w:rsidRDefault="00E45C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F720" w14:textId="77777777" w:rsidR="00EE39DA" w:rsidRDefault="00EE39DA">
      <w:pPr>
        <w:spacing w:line="240" w:lineRule="auto"/>
      </w:pPr>
      <w:r>
        <w:separator/>
      </w:r>
    </w:p>
  </w:footnote>
  <w:footnote w:type="continuationSeparator" w:id="0">
    <w:p w14:paraId="273DF663" w14:textId="77777777" w:rsidR="00EE39DA" w:rsidRDefault="00EE39DA">
      <w:pPr>
        <w:spacing w:line="240" w:lineRule="auto"/>
      </w:pPr>
      <w:r>
        <w:continuationSeparator/>
      </w:r>
    </w:p>
  </w:footnote>
  <w:footnote w:id="1">
    <w:p w14:paraId="0000002F" w14:textId="77777777" w:rsidR="00E45C7A" w:rsidRPr="00EE39DA" w:rsidRDefault="00EE39DA">
      <w:pPr>
        <w:spacing w:line="240" w:lineRule="auto"/>
        <w:rPr>
          <w:rFonts w:ascii="Times New Roman" w:eastAsia="Times New Roman" w:hAnsi="Times New Roman" w:cs="Times New Roman"/>
          <w:sz w:val="24"/>
          <w:szCs w:val="24"/>
        </w:rPr>
      </w:pPr>
      <w:r w:rsidRPr="00EE39DA">
        <w:rPr>
          <w:rFonts w:ascii="Times New Roman" w:hAnsi="Times New Roman" w:cs="Times New Roman"/>
          <w:sz w:val="24"/>
          <w:szCs w:val="24"/>
          <w:vertAlign w:val="superscript"/>
        </w:rPr>
        <w:footnoteRef/>
      </w:r>
      <w:r w:rsidRPr="00EE39DA">
        <w:rPr>
          <w:rFonts w:ascii="Times New Roman" w:eastAsia="Times New Roman" w:hAnsi="Times New Roman" w:cs="Times New Roman"/>
          <w:sz w:val="24"/>
          <w:szCs w:val="24"/>
        </w:rPr>
        <w:t xml:space="preserve"> https://www.wseas.com/journals/bae/2013/235702-202.pdf</w:t>
      </w:r>
    </w:p>
  </w:footnote>
  <w:footnote w:id="2">
    <w:p w14:paraId="00000030" w14:textId="77777777" w:rsidR="00E45C7A" w:rsidRPr="00EE39DA" w:rsidRDefault="00EE39DA">
      <w:pPr>
        <w:spacing w:line="240" w:lineRule="auto"/>
        <w:rPr>
          <w:rFonts w:ascii="Times New Roman" w:eastAsia="Times New Roman" w:hAnsi="Times New Roman" w:cs="Times New Roman"/>
          <w:sz w:val="24"/>
          <w:szCs w:val="24"/>
        </w:rPr>
      </w:pPr>
      <w:r w:rsidRPr="00EE39DA">
        <w:rPr>
          <w:rFonts w:ascii="Times New Roman" w:hAnsi="Times New Roman" w:cs="Times New Roman"/>
          <w:sz w:val="24"/>
          <w:szCs w:val="24"/>
          <w:vertAlign w:val="superscript"/>
        </w:rPr>
        <w:footnoteRef/>
      </w:r>
      <w:r w:rsidRPr="00EE39DA">
        <w:rPr>
          <w:rFonts w:ascii="Times New Roman" w:eastAsia="Times New Roman" w:hAnsi="Times New Roman" w:cs="Times New Roman"/>
          <w:sz w:val="24"/>
          <w:szCs w:val="24"/>
        </w:rPr>
        <w:t xml:space="preserve"> https://www.sciencedirect.com/science/article/pii/S0950705122003677</w:t>
      </w:r>
    </w:p>
  </w:footnote>
  <w:footnote w:id="3">
    <w:p w14:paraId="00000031" w14:textId="77777777" w:rsidR="00E45C7A" w:rsidRDefault="00EE39DA">
      <w:pPr>
        <w:spacing w:line="240" w:lineRule="auto"/>
        <w:rPr>
          <w:rFonts w:ascii="Times New Roman" w:eastAsia="Times New Roman" w:hAnsi="Times New Roman" w:cs="Times New Roman"/>
        </w:rPr>
      </w:pPr>
      <w:r w:rsidRPr="00EE39DA">
        <w:rPr>
          <w:rFonts w:ascii="Times New Roman" w:hAnsi="Times New Roman" w:cs="Times New Roman"/>
          <w:sz w:val="24"/>
          <w:szCs w:val="24"/>
          <w:vertAlign w:val="superscript"/>
        </w:rPr>
        <w:footnoteRef/>
      </w:r>
      <w:r w:rsidRPr="00EE39DA">
        <w:rPr>
          <w:rFonts w:ascii="Times New Roman" w:eastAsia="Times New Roman" w:hAnsi="Times New Roman" w:cs="Times New Roman"/>
          <w:sz w:val="24"/>
          <w:szCs w:val="24"/>
        </w:rPr>
        <w:t xml:space="preserve"> https://www.sciencedirect.com/science/article/pii/S0165410108000141</w:t>
      </w:r>
    </w:p>
  </w:footnote>
  <w:footnote w:id="4">
    <w:p w14:paraId="00000038" w14:textId="77777777" w:rsidR="00E45C7A" w:rsidRPr="00EE39DA" w:rsidRDefault="00EE39DA">
      <w:pPr>
        <w:spacing w:line="240" w:lineRule="auto"/>
        <w:rPr>
          <w:rFonts w:ascii="Times New Roman" w:eastAsia="Times New Roman" w:hAnsi="Times New Roman" w:cs="Times New Roman"/>
          <w:sz w:val="24"/>
          <w:szCs w:val="24"/>
        </w:rPr>
      </w:pPr>
      <w:r w:rsidRPr="00EE39DA">
        <w:rPr>
          <w:rFonts w:ascii="Times New Roman" w:hAnsi="Times New Roman" w:cs="Times New Roman"/>
          <w:sz w:val="24"/>
          <w:szCs w:val="24"/>
          <w:vertAlign w:val="superscript"/>
        </w:rPr>
        <w:footnoteRef/>
      </w:r>
      <w:r w:rsidRPr="00EE39DA">
        <w:rPr>
          <w:rFonts w:ascii="Times New Roman" w:hAnsi="Times New Roman" w:cs="Times New Roman"/>
          <w:sz w:val="24"/>
          <w:szCs w:val="24"/>
          <w:vertAlign w:val="superscript"/>
        </w:rPr>
        <w:t xml:space="preserve"> </w:t>
      </w:r>
      <w:r w:rsidRPr="00EE39DA">
        <w:rPr>
          <w:rFonts w:ascii="Times New Roman" w:eastAsia="Times New Roman" w:hAnsi="Times New Roman" w:cs="Times New Roman"/>
          <w:sz w:val="24"/>
          <w:szCs w:val="24"/>
        </w:rPr>
        <w:t>https://www.ncbi.nlm.nih.gov/pmc/articles/PMC3652533/</w:t>
      </w:r>
    </w:p>
    <w:p w14:paraId="00000039" w14:textId="77777777" w:rsidR="00E45C7A" w:rsidRDefault="00E45C7A">
      <w:pPr>
        <w:spacing w:line="240" w:lineRule="auto"/>
        <w:rPr>
          <w:sz w:val="20"/>
          <w:szCs w:val="20"/>
          <w:vertAlign w:val="superscrip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E45C7A" w:rsidRDefault="00E45C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3F4CFE37" w:rsidR="00E45C7A" w:rsidRDefault="00EE39DA">
    <w:pPr>
      <w:jc w:val="right"/>
      <w:rPr>
        <w:sz w:val="38"/>
        <w:szCs w:val="38"/>
        <w:vertAlign w:val="superscript"/>
      </w:rPr>
    </w:pPr>
    <w:r>
      <w:rPr>
        <w:sz w:val="38"/>
        <w:szCs w:val="38"/>
        <w:vertAlign w:val="superscript"/>
      </w:rPr>
      <w:fldChar w:fldCharType="begin"/>
    </w:r>
    <w:r>
      <w:rPr>
        <w:sz w:val="38"/>
        <w:szCs w:val="38"/>
        <w:vertAlign w:val="superscript"/>
      </w:rPr>
      <w:instrText>PAGE</w:instrText>
    </w:r>
    <w:r>
      <w:rPr>
        <w:sz w:val="38"/>
        <w:szCs w:val="38"/>
        <w:vertAlign w:val="superscript"/>
      </w:rPr>
      <w:fldChar w:fldCharType="separate"/>
    </w:r>
    <w:r>
      <w:rPr>
        <w:noProof/>
        <w:sz w:val="38"/>
        <w:szCs w:val="38"/>
        <w:vertAlign w:val="superscript"/>
      </w:rPr>
      <w:t>2</w:t>
    </w:r>
    <w:r>
      <w:rPr>
        <w:sz w:val="38"/>
        <w:szCs w:val="38"/>
        <w:vertAlign w:val="superscrip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27714411" w:rsidR="00E45C7A" w:rsidRDefault="00EE39DA">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C7A"/>
    <w:rsid w:val="00E45C7A"/>
    <w:rsid w:val="00EE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1382"/>
  <w15:docId w15:val="{D2C95188-5589-49B2-BBCF-8AE67D3C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seas.org/multimedia/journals/economics/2013/235702-202.pdf" TargetMode="External"/><Relationship Id="rId13" Type="http://schemas.openxmlformats.org/officeDocument/2006/relationships/hyperlink" Target="https://doi.org/10.3389/fpsyg.2022.949881"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016/j.ribaf.2018.12.008" TargetMode="External"/><Relationship Id="rId12" Type="http://schemas.openxmlformats.org/officeDocument/2006/relationships/hyperlink" Target="https://doi.org/10.1037/0033-2909.134.3.38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knosys.2022.108781" TargetMode="External"/><Relationship Id="rId11" Type="http://schemas.openxmlformats.org/officeDocument/2006/relationships/hyperlink" Target="https://doi.org/10.1016/j.bar.2015.12.00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doi.org/10.1016/j.jacceco.2008.02.003"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doi.org/10.2308/jeta.2006.3.1.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Horvath</cp:lastModifiedBy>
  <cp:revision>2</cp:revision>
  <dcterms:created xsi:type="dcterms:W3CDTF">2023-11-21T04:05:00Z</dcterms:created>
  <dcterms:modified xsi:type="dcterms:W3CDTF">2023-11-21T04:05:00Z</dcterms:modified>
</cp:coreProperties>
</file>