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HU v. HYUNDAI MOTOR AMERICA</w:t>
      </w:r>
    </w:p>
    <w:p>
      <w:pPr>
        <w:spacing w:after="0" w:before="2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Summary prepared for prospective counsel</w:t>
      </w:r>
    </w:p>
    <w:p>
      <w:pPr>
        <w:spacing w:after="0" w:before="2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6"/>
          <w:szCs w:val="16"/>
        </w:rPr>
        <w:t xml:space="preserve">Jimmy Y. Hu  ·  320 West 38th Street, Apt. 2427, New York, NY 10018  ·  jimmy.hu@gmail.com</w:t>
      </w:r>
    </w:p>
    <w:p>
      <w:pPr>
        <w:pBdr>
          <w:bottom w:val="single" w:color="000000" w:sz="6" w:space="1"/>
        </w:pBdr>
        <w:spacing w:after="30" w:before="7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0" w:before="84" w:line="2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WHAT I AM ASKING.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Whether you would consider representing me in a proceeding to challenge an adverse New York lemon-law arbitration award. My own research points toward a CPLR Article 75 petition to vacate, in Supreme Court, New York County — but that is a layman’s read, and if you see a better route, or no viable case at all, I would rather hear it from you than talk myself into it. I understand GBL § 198-a(l) may provide for attorney’s fees to a prevailing consumer; your view on whether it reaches a proceeding like this would be welcome. One hard constraint: any petition must be filed by SEPTEMBER 9, 2026, ninety days from delivery of the award.</w:t>
      </w:r>
    </w:p>
    <w:p>
      <w:pPr>
        <w:spacing w:after="0" w:before="84" w:line="2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BACKGROUND.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2024 Hyundai IONIQ 5, leased new May 23, 2024 at 40 miles (Koeppel Hyundai, Long Island City). High-voltage battery defect first reported February 12, 2025 at 7,026 miles. Compulsory arbitration under GBL § 198-a(k), administered by NYSDRA for the Attorney General; hearing June 9, 2026 before Arbitrator Maneesha Sharma; award June 11, 2026, “FOR THE MANUFACTURER.” I represented myself, which may itself be part of the problem.</w:t>
      </w:r>
    </w:p>
    <w:p>
      <w:pPr>
        <w:spacing w:after="0" w:before="84" w:line="2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THE FACT I KEEP RETURNING TO.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Hyundai’s own repair order #358530 shows the vehicle in for repair from April 3 to August 5, 2025 — 124 calendar days, status “VEH. DISABLED,” with three miles added. The high-voltage battery pack was replaced under warranty. As I read GBL § 198-a(d)(2), thirty cumulative days out of service triggers the presumption; this is roughly four times that, documented by the manufacturer itself. If there is a reason that figure does not carry the weight I think it does, I would genuinely like to know.</w:t>
      </w:r>
    </w:p>
    <w:p>
      <w:pPr>
        <w:spacing w:after="0" w:before="84" w:line="2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WHAT MY RESEARCH SUGGESTS — subject entirely to your judgment.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I understand that because this arbitration was compulsory, judicial review is broader than in a voluntary one — the award must accord with due process, rest on adequate evidence in the record, and be rational — and that the First Department has vacated lemon-law awards on that standard. Motor Veh. Mfrs. Assn. v State of New York, 75 NY2d 175, 186 (1990); Matter of BMW of N. Am., LLC v Leonidou, 2020 NY Slip Op 02858, and v Riina, 149 AD3d 420 (1st Dept). Four things struck me; you may weigh them differently, or set them aside:</w:t>
      </w:r>
    </w:p>
    <w:p>
      <w:pPr>
        <w:spacing w:after="0" w:before="30" w:line="216"/>
        <w:ind w:left="300" w:hanging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The award appears to contradict itself.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Its dispositive sentence — “Based on testimony that the vehicle is currently operating and no allegation that the use and value is impaired, the consumer has not met his burden of proof” — sits in the same paragraph as the arbitrator’s own summary of the impairment I did allege. That reads to me as a statement about the record rather than a credibility finding, but how much that matters is your call.</w:t>
      </w:r>
    </w:p>
    <w:p>
      <w:pPr>
        <w:spacing w:after="0" w:before="30" w:line="216"/>
        <w:ind w:left="300" w:hanging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It may rest on a standard the Court of Appeals has rejected.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Conditioning relief on the vehicle’s condition at the time of the hearing appears foreclosed by Matter of DaimlerChrysler Corp. v Spitzer, 7 NY3d 653, 658 (2006).</w:t>
      </w:r>
    </w:p>
    <w:p>
      <w:pPr>
        <w:spacing w:after="0" w:before="30" w:line="216"/>
        <w:ind w:left="300" w:hanging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It may never have reached the thirty-day claim.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The (d)(1) four-attempt and (d)(2) thirty-day presumptions read to me as independent, and the extension provision in § 198-a(e) does not seem to cover the parts backorder the arbitrator credited.</w:t>
      </w:r>
    </w:p>
    <w:p>
      <w:pPr>
        <w:spacing w:after="0" w:before="30" w:line="216"/>
        <w:ind w:left="300" w:hanging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The award contains several factual errors.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It describes a “new 2024 WAGON ION” from “Hyundai Brooklyn,” miscites the controlling repair order, and attributes a February 2026 failure to an unrelated 2025 visit. Whether that amounts to anything legally, or is merely untidy, is exactly the judgment I am not equipped to make.</w:t>
      </w:r>
    </w:p>
    <w:p>
      <w:pPr>
        <w:spacing w:after="0" w:before="84" w:line="2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SETTLEMENT HISTORY.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In August 2025 Hyundai offered repurchase at $7,977.00, or $4,000 to keep the car. I accepted the cash option in writing; the deal died on the release terms — a Civil Code § 1542 unknown-claims waiver, confidentiality, indemnity — not on price. A January 2026 offer of $5,388.51 applied a $4,326.49 mileage deduction from the wrong odometer basis, and lapsed. Hyundai then withdrew repurchase and conveyed $2,500 through counsel before the hearing. I also have $1,793.43 in documented expenses, and no firm view of what the matter is worth — I would follow your guidance there.</w:t>
      </w:r>
    </w:p>
    <w:p>
      <w:pPr>
        <w:spacing w:after="0" w:before="84" w:line="2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WHAT I HAVE ASSEMBLED — a starting point, not a prescription.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The record is complete and organized — award, repair orders, lease, both offer letters, the proposed release, expenses, correspondence. I also drafted a petition and a memorandum of law while working through this alone. I offer them only so no one starts from a blank page; I would expect counsel to rewrite or discard them, and I will not be precious about it.</w:t>
      </w:r>
    </w:p>
    <w:p>
      <w:pPr>
        <w:spacing w:after="0" w:before="84" w:line="2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WHAT I THINK CUTS AGAINST ME.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The car is still mine under a month-to-month extension at roughly 15,000 miles and currently runs; the arbitrator relied on that, and I assume Hyundai will press it again. Vacatur is, as I understand it, a demanding remedy, and the realistic outcome may be a rehearing rather than a judgment. Unrelated headlamp damage that I paid to repair was raised early as a possible cause of a January 2026 no-start, before the dealer confirmed a warranty defect. And there are almost certainly weaknesses here I have not spotted.</w:t>
      </w:r>
    </w:p>
    <w:p>
      <w:pPr>
        <w:pBdr>
          <w:bottom w:val="single" w:color="000000" w:sz="6" w:space="1"/>
        </w:pBdr>
        <w:spacing w:after="30" w:before="7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6"/>
          <w:szCs w:val="16"/>
        </w:rPr>
        <w:t xml:space="preserve">Every figure and quotation above comes from a document in the file, and I can produce any of it on request. I am glad to do legwork and to be responsive, but I know the difference between reading cases and practicing law. Thank you for your time.</w:t>
      </w:r>
    </w:p>
    <w:sectPr>
      <w:pgSz w:w="12240" w:h="15840" w:orient="portrait"/>
      <w:pgMar w:top="792" w:right="792" w:bottom="792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2026-07-27T21:19:51.235Z</dcterms:created>
  <dcterms:modified xsi:type="dcterms:W3CDTF">2026-07-27T21:19:51.235Z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