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i w:val="false"/>
          <w:iCs w:val="false"/>
          <w:sz w:val="27"/>
          <w:szCs w:val="27"/>
        </w:rPr>
        <w:t xml:space="preserve">HU v. HYUNDAI MOTOR AMERICA</w:t>
      </w:r>
    </w:p>
    <w:p>
      <w:pPr>
        <w:spacing w:after="0" w:before="40" w:line="240"/>
        <w:jc w:val="center"/>
      </w:pPr>
      <w:r>
        <w:rPr>
          <w:rFonts w:ascii="Times New Roman" w:cs="Times New Roman" w:eastAsia="Times New Roman" w:hAnsi="Times New Roman"/>
          <w:b/>
          <w:bCs/>
          <w:i w:val="false"/>
          <w:iCs w:val="false"/>
          <w:sz w:val="22"/>
          <w:szCs w:val="22"/>
        </w:rPr>
        <w:t xml:space="preserve">Summary prepared for prospective counsel</w:t>
      </w:r>
    </w:p>
    <w:p>
      <w:pPr>
        <w:spacing w:after="0" w:before="40" w:line="240"/>
        <w:jc w:val="center"/>
      </w:pPr>
      <w:r>
        <w:rPr>
          <w:rFonts w:ascii="Times New Roman" w:cs="Times New Roman" w:eastAsia="Times New Roman" w:hAnsi="Times New Roman"/>
          <w:b w:val="false"/>
          <w:bCs w:val="false"/>
          <w:i w:val="false"/>
          <w:iCs w:val="false"/>
          <w:sz w:val="19"/>
          <w:szCs w:val="19"/>
        </w:rPr>
        <w:t xml:space="preserve">Jimmy Y. Hu  ·  320 West 38th Street, Apt. 2427, New York, NY 10018  ·  jimmy.hu@gmail.com</w:t>
      </w:r>
    </w:p>
    <w:p>
      <w:pPr>
        <w:pBdr>
          <w:bottom w:val="single" w:color="000000" w:sz="6" w:space="1"/>
        </w:pBdr>
        <w:spacing w:after="50" w:before="110" w:line="240"/>
      </w:pPr>
      <w:r>
        <w:rPr>
          <w:rFonts w:ascii="Times New Roman" w:cs="Times New Roman" w:eastAsia="Times New Roman" w:hAnsi="Times New Roman"/>
          <w:b w:val="false"/>
          <w:bCs w:val="false"/>
          <w:i w:val="false"/>
          <w:iCs w:val="false"/>
          <w:sz w:val="21"/>
          <w:szCs w:val="21"/>
        </w:rPr>
        <w:t xml:space="preserve"/>
      </w:r>
    </w:p>
    <w:p>
      <w:pPr>
        <w:spacing w:after="0" w:before="140" w:line="240"/>
        <w:jc w:val="both"/>
      </w:pPr>
      <w:r>
        <w:rPr>
          <w:rFonts w:ascii="Times New Roman" w:cs="Times New Roman" w:eastAsia="Times New Roman" w:hAnsi="Times New Roman"/>
          <w:b/>
          <w:bCs/>
          <w:i w:val="false"/>
          <w:iCs w:val="false"/>
          <w:sz w:val="21"/>
          <w:szCs w:val="21"/>
        </w:rPr>
        <w:t xml:space="preserve">WHAT I AM ASKING.</w:t>
      </w:r>
      <w:r>
        <w:rPr>
          <w:rFonts w:ascii="Times New Roman" w:cs="Times New Roman" w:eastAsia="Times New Roman" w:hAnsi="Times New Roman"/>
          <w:b w:val="false"/>
          <w:bCs w:val="false"/>
          <w:i w:val="false"/>
          <w:iCs w:val="false"/>
          <w:sz w:val="21"/>
          <w:szCs w:val="21"/>
        </w:rPr>
        <w:t xml:space="preserve"> Whether you would consider representing me in a proceeding to challenge an adverse New York lemon-law arbitration award. My own reading points toward a petition to vacate under CPLR Article 75, in Supreme Court, New York County — but that is a layman’s conclusion, and if you see a better route, or no viable case at all, I would rather hear that from you than talk myself into it. I understand GBL § 198-a(l) may provide for attorney’s fees to a prevailing consumer, and your view on whether it reaches a proceeding like this would be welcome. I am flexible on fee structure. One hard constraint: any petition must be filed within ninety days of delivery of the award, which puts the deadline at SEPTEMBER 9, 2026.</w:t>
      </w:r>
    </w:p>
    <w:p>
      <w:pPr>
        <w:spacing w:after="0" w:before="140" w:line="240"/>
        <w:jc w:val="both"/>
      </w:pPr>
      <w:r>
        <w:rPr>
          <w:rFonts w:ascii="Times New Roman" w:cs="Times New Roman" w:eastAsia="Times New Roman" w:hAnsi="Times New Roman"/>
          <w:b/>
          <w:bCs/>
          <w:i w:val="false"/>
          <w:iCs w:val="false"/>
          <w:sz w:val="21"/>
          <w:szCs w:val="21"/>
        </w:rPr>
        <w:t xml:space="preserve">THE VEHICLE.</w:t>
      </w:r>
      <w:r>
        <w:rPr>
          <w:rFonts w:ascii="Times New Roman" w:cs="Times New Roman" w:eastAsia="Times New Roman" w:hAnsi="Times New Roman"/>
          <w:b w:val="false"/>
          <w:bCs w:val="false"/>
          <w:i w:val="false"/>
          <w:iCs w:val="false"/>
          <w:sz w:val="21"/>
          <w:szCs w:val="21"/>
        </w:rPr>
        <w:t xml:space="preserve"> A 2024 Hyundai IONIQ 5, leased new on May 23, 2024 from Koeppel Hyundai in Long Island City with 40 miles on it — twenty-four months, $314.00 per month, agreed value $53,360.77. All service has been at Hyundai of Paramus, New Jersey, and I first reported a high-voltage battery problem on February 12, 2025, at 7,026 miles.</w:t>
      </w:r>
    </w:p>
    <w:p>
      <w:pPr>
        <w:spacing w:after="0" w:before="140" w:line="240"/>
        <w:jc w:val="both"/>
      </w:pPr>
      <w:r>
        <w:rPr>
          <w:rFonts w:ascii="Times New Roman" w:cs="Times New Roman" w:eastAsia="Times New Roman" w:hAnsi="Times New Roman"/>
          <w:b/>
          <w:bCs/>
          <w:i w:val="false"/>
          <w:iCs w:val="false"/>
          <w:sz w:val="21"/>
          <w:szCs w:val="21"/>
        </w:rPr>
        <w:t xml:space="preserve">THE FACT I KEEP RETURNING TO.</w:t>
      </w:r>
      <w:r>
        <w:rPr>
          <w:rFonts w:ascii="Times New Roman" w:cs="Times New Roman" w:eastAsia="Times New Roman" w:hAnsi="Times New Roman"/>
          <w:b w:val="false"/>
          <w:bCs w:val="false"/>
          <w:i w:val="false"/>
          <w:iCs w:val="false"/>
          <w:sz w:val="21"/>
          <w:szCs w:val="21"/>
        </w:rPr>
        <w:t xml:space="preserve"> Hyundai’s own repair order #358530 records the car in for repair from April 3 to August 5, 2025 — 124 calendar days — with the status field reading “VEH. DISABLED” and the odometer moving three miles, from 8,148 to 8,151, over four months. The high-voltage battery pack was replaced under warranty ($17,483.69 in warranty charges). As I read GBL § 198-a(d)(2), thirty cumulative days out of service triggers the presumption. This is roughly four times that, documented by the manufacturer rather than by me, and Hyundai has never disputed the dates. If there is a reason that figure does not carry the weight I think it does, I would genuinely like to know before spending money pursuing it.</w:t>
      </w:r>
    </w:p>
    <w:p>
      <w:pPr>
        <w:spacing w:after="0" w:before="140" w:line="240"/>
        <w:jc w:val="both"/>
      </w:pPr>
      <w:r>
        <w:rPr>
          <w:rFonts w:ascii="Times New Roman" w:cs="Times New Roman" w:eastAsia="Times New Roman" w:hAnsi="Times New Roman"/>
          <w:b/>
          <w:bCs/>
          <w:i w:val="false"/>
          <w:iCs w:val="false"/>
          <w:sz w:val="21"/>
          <w:szCs w:val="21"/>
        </w:rPr>
        <w:t xml:space="preserve">THE FEBRUARY 2026 RECURRENCE.</w:t>
      </w:r>
      <w:r>
        <w:rPr>
          <w:rFonts w:ascii="Times New Roman" w:cs="Times New Roman" w:eastAsia="Times New Roman" w:hAnsi="Times New Roman"/>
          <w:b w:val="false"/>
          <w:bCs w:val="false"/>
          <w:i w:val="false"/>
          <w:iCs w:val="false"/>
          <w:sz w:val="21"/>
          <w:szCs w:val="21"/>
        </w:rPr>
        <w:t xml:space="preserve"> On January 8, 2026 a dealer diagnostic returned seven fault codes, including P1BAD92 and C110213 (“Battery Voltage Low”), the codes associated with the original failure. On February 18, at 11,230 miles, the car would not start. The repair order (#370267) reads “VERIFIED NEEDS JUMP TO START. TOO DEAD TO COMPLETE GDS,” and Paramus replaced the 12-volt battery under warranty after confirming the failure was a covered defect. I want to be precise, because the award is not: that was a 12-volt battery, not a second high-voltage pack. Only one pack replacement appears in the record.</w:t>
      </w:r>
    </w:p>
    <w:p>
      <w:pPr>
        <w:spacing w:after="0" w:before="140" w:line="240"/>
        <w:jc w:val="both"/>
      </w:pPr>
      <w:r>
        <w:rPr>
          <w:rFonts w:ascii="Times New Roman" w:cs="Times New Roman" w:eastAsia="Times New Roman" w:hAnsi="Times New Roman"/>
          <w:b/>
          <w:bCs/>
          <w:i w:val="false"/>
          <w:iCs w:val="false"/>
          <w:sz w:val="21"/>
          <w:szCs w:val="21"/>
        </w:rPr>
        <w:t xml:space="preserve">THE AWARD.</w:t>
      </w:r>
      <w:r>
        <w:rPr>
          <w:rFonts w:ascii="Times New Roman" w:cs="Times New Roman" w:eastAsia="Times New Roman" w:hAnsi="Times New Roman"/>
          <w:b w:val="false"/>
          <w:bCs w:val="false"/>
          <w:i w:val="false"/>
          <w:iCs w:val="false"/>
          <w:sz w:val="21"/>
          <w:szCs w:val="21"/>
        </w:rPr>
        <w:t xml:space="preserve"> The arbitration was compulsory, under GBL § 198-a(k), administered by NYSDRA for the Attorney General. The hearing was held June 9, 2026 before Arbitrator Maneesha Sharma; the award issued June 11, 2026, “FOR THE MANUFACTURER.” I represented myself, which may itself be part of the problem. Its reasoning, in its entirety, is that the repair “needed back order parts which is a challenge in whole industry,” that a loaner was “provided no charge,” that there is “no guarantee by any manufacturer of a defect free car,” and that “[t]he manufacturer’s argument is compelling.” It ends: “Based on testimony that the vehicle is currently operating and no allegation that the use and value is impaired, the consumer has not met his burden of proof.”</w:t>
      </w:r>
    </w:p>
    <w:p>
      <w:pPr>
        <w:spacing w:after="0" w:before="140" w:line="240"/>
        <w:jc w:val="both"/>
      </w:pPr>
      <w:r>
        <w:rPr>
          <w:rFonts w:ascii="Times New Roman" w:cs="Times New Roman" w:eastAsia="Times New Roman" w:hAnsi="Times New Roman"/>
          <w:b/>
          <w:bCs/>
          <w:i w:val="false"/>
          <w:iCs w:val="false"/>
          <w:sz w:val="21"/>
          <w:szCs w:val="21"/>
        </w:rPr>
        <w:t xml:space="preserve">WHAT MY RESEARCH SUGGESTS — subject entirely to your judgment.</w:t>
      </w:r>
      <w:r>
        <w:rPr>
          <w:rFonts w:ascii="Times New Roman" w:cs="Times New Roman" w:eastAsia="Times New Roman" w:hAnsi="Times New Roman"/>
          <w:b w:val="false"/>
          <w:bCs w:val="false"/>
          <w:i w:val="false"/>
          <w:iCs w:val="false"/>
          <w:sz w:val="21"/>
          <w:szCs w:val="21"/>
        </w:rPr>
        <w:t xml:space="preserve"> I understand that because this arbitration was compulsory rather than contractual, judicial review is broader than in an ordinary Article 75 case — the award must accord with due process, rest on adequate evidence in the record, and be rational. Motor Veh. Mfrs. Assn. of U.S. v State of New York, 75 NY2d 175, 186 (1990); Matter of General Motors Corp. [Gurau], 33 AD3d 1149, 1151 (3d Dept 2006). The First Department appears to have vacated lemon-law awards on that standard. Matter of BMW of N. Am., LLC v Leonidou, 2020 NY Slip Op 02858; and v Riina, 149 AD3d 420. Four things struck me; you may weigh them differently, or set them aside:</w:t>
      </w:r>
    </w:p>
    <w:p>
      <w:pPr>
        <w:spacing w:after="0" w:before="90" w:line="240"/>
        <w:ind w:left="360" w:hanging="180"/>
        <w:jc w:val="both"/>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The award appears to contradict itself.</w:t>
      </w:r>
      <w:r>
        <w:rPr>
          <w:rFonts w:ascii="Times New Roman" w:cs="Times New Roman" w:eastAsia="Times New Roman" w:hAnsi="Times New Roman"/>
          <w:b w:val="false"/>
          <w:bCs w:val="false"/>
          <w:i w:val="false"/>
          <w:iCs w:val="false"/>
          <w:sz w:val="21"/>
          <w:szCs w:val="21"/>
        </w:rPr>
        <w:t xml:space="preserve"> The sentence that decides the case says there was “no allegation that the use and value is impaired.” It sits in the same paragraph as the arbitrator’s own summary of the impairment I did allege. That reads to me as a statement about what is in the record rather than a credibility finding — which I gather are treated differently — but how much that matters is your call.</w:t>
      </w:r>
    </w:p>
    <w:p>
      <w:pPr>
        <w:spacing w:after="0" w:before="90" w:line="240"/>
        <w:ind w:left="360" w:hanging="180"/>
        <w:jc w:val="both"/>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It may rest on a standard the Court of Appeals has rejected.</w:t>
      </w:r>
      <w:r>
        <w:rPr>
          <w:rFonts w:ascii="Times New Roman" w:cs="Times New Roman" w:eastAsia="Times New Roman" w:hAnsi="Times New Roman"/>
          <w:b w:val="false"/>
          <w:bCs w:val="false"/>
          <w:i w:val="false"/>
          <w:iCs w:val="false"/>
          <w:sz w:val="21"/>
          <w:szCs w:val="21"/>
        </w:rPr>
        <w:t xml:space="preserve"> The award turns on the car “currently operating” at the time of the hearing. I understand Matter of DaimlerChrysler Corp. v Spitzer, 7 NY3d 653, 658 (2006) to foreclose that. If so, a manufacturer could defeat any claim by getting the car running before the hearing date.</w:t>
      </w:r>
    </w:p>
    <w:p>
      <w:pPr>
        <w:spacing w:after="0" w:before="90" w:line="240"/>
        <w:ind w:left="360" w:hanging="180"/>
        <w:jc w:val="both"/>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It may never have reached the thirty-day claim at all.</w:t>
      </w:r>
      <w:r>
        <w:rPr>
          <w:rFonts w:ascii="Times New Roman" w:cs="Times New Roman" w:eastAsia="Times New Roman" w:hAnsi="Times New Roman"/>
          <w:b w:val="false"/>
          <w:bCs w:val="false"/>
          <w:i w:val="false"/>
          <w:iCs w:val="false"/>
          <w:sz w:val="21"/>
          <w:szCs w:val="21"/>
        </w:rPr>
        <w:t xml:space="preserve"> The four-attempt and thirty-day presumptions read to me as independent, and the findings engage the first without addressing the 124 days. The extension provision in § 198-a(e) lists war, invasion, strike, fire, flood, and natural disaster; a parts backorder — the arbitrator’s stated reason — is not among them.</w:t>
      </w:r>
    </w:p>
    <w:p>
      <w:pPr>
        <w:spacing w:after="0" w:before="90" w:line="240"/>
        <w:ind w:left="360" w:hanging="180"/>
        <w:jc w:val="both"/>
      </w:pP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The award contains errors that concern me.</w:t>
      </w:r>
      <w:r>
        <w:rPr>
          <w:rFonts w:ascii="Times New Roman" w:cs="Times New Roman" w:eastAsia="Times New Roman" w:hAnsi="Times New Roman"/>
          <w:b w:val="false"/>
          <w:bCs w:val="false"/>
          <w:i w:val="false"/>
          <w:iCs w:val="false"/>
          <w:sz w:val="21"/>
          <w:szCs w:val="21"/>
        </w:rPr>
        <w:t xml:space="preserve"> It describes a “new 2024 WAGON ION” bought from “Hyundai Brooklyn” (it was Koeppel, in Long Island City), gives the controlling repair order as “RO 258530” rather than #358530, and attributes the February 2026 failure to “RO 363888 mileage 8662” — an unrelated August 2025 visit at which no work was performed. Whether that matters legally, or is merely untidy, is exactly the judgment I am not equipped to make.</w:t>
      </w:r>
    </w:p>
    <w:p>
      <w:pPr>
        <w:spacing w:after="0" w:before="140" w:line="240"/>
        <w:jc w:val="both"/>
      </w:pPr>
      <w:r>
        <w:rPr>
          <w:rFonts w:ascii="Times New Roman" w:cs="Times New Roman" w:eastAsia="Times New Roman" w:hAnsi="Times New Roman"/>
          <w:b/>
          <w:bCs/>
          <w:i w:val="false"/>
          <w:iCs w:val="false"/>
          <w:sz w:val="21"/>
          <w:szCs w:val="21"/>
        </w:rPr>
        <w:t xml:space="preserve">SETTLEMENT HISTORY.</w:t>
      </w:r>
      <w:r>
        <w:rPr>
          <w:rFonts w:ascii="Times New Roman" w:cs="Times New Roman" w:eastAsia="Times New Roman" w:hAnsi="Times New Roman"/>
          <w:b w:val="false"/>
          <w:bCs w:val="false"/>
          <w:i w:val="false"/>
          <w:iCs w:val="false"/>
          <w:sz w:val="21"/>
          <w:szCs w:val="21"/>
        </w:rPr>
        <w:t xml:space="preserve"> In August 2025 Hyundai offered either $4,000 to keep the car or repurchase with restitution of $7,977.00, mileage deduction expressly waived. I accepted the cash option in writing that September. The deal died on the release terms — a Civil Code § 1542 unknown-claims waiver, plus confidentiality and indemnity provisions — not on price; I asked for three edits and never got a substantive response. A second offer in January 2026 dropped to $5,388.51 and applied a $4,326.49 mileage deduction calculated from an 8,148-mile reading rather than the 7,026 miles at which I first reported the defect. It was good for sixty days and lapsed while prior counsel held the file. Hyundai then withdrew repurchase and conveyed $2,500 through that counsel on May 11, 2026, weeks before the hearing. I also have $1,793.43 in documented out-of-pocket costs, and no firm view of what the matter is worth — I would follow your guidance there.</w:t>
      </w:r>
    </w:p>
    <w:p>
      <w:pPr>
        <w:spacing w:after="0" w:before="140" w:line="240"/>
        <w:jc w:val="both"/>
      </w:pPr>
      <w:r>
        <w:rPr>
          <w:rFonts w:ascii="Times New Roman" w:cs="Times New Roman" w:eastAsia="Times New Roman" w:hAnsi="Times New Roman"/>
          <w:b/>
          <w:bCs/>
          <w:i w:val="false"/>
          <w:iCs w:val="false"/>
          <w:sz w:val="21"/>
          <w:szCs w:val="21"/>
        </w:rPr>
        <w:t xml:space="preserve">WHAT I HAVE ASSEMBLED — a starting point, not a prescription.</w:t>
      </w:r>
      <w:r>
        <w:rPr>
          <w:rFonts w:ascii="Times New Roman" w:cs="Times New Roman" w:eastAsia="Times New Roman" w:hAnsi="Times New Roman"/>
          <w:b w:val="false"/>
          <w:bCs w:val="false"/>
          <w:i w:val="false"/>
          <w:iCs w:val="false"/>
          <w:sz w:val="21"/>
          <w:szCs w:val="21"/>
        </w:rPr>
        <w:t xml:space="preserve"> The record is complete and organized: the award and decision letter, the full repair-order set, the lease, both offer letters, the proposed release, the expense packet with receipts, and the correspondence file. Working through this alone I also drafted a petition, a notice of petition, and a memorandum of law. I offer all of it only so no one starts from a blank page — I would expect counsel to rewrite or discard any of it, and I will not be precious about that.</w:t>
      </w:r>
    </w:p>
    <w:p>
      <w:pPr>
        <w:spacing w:after="0" w:before="140" w:line="240"/>
        <w:jc w:val="both"/>
      </w:pPr>
      <w:r>
        <w:rPr>
          <w:rFonts w:ascii="Times New Roman" w:cs="Times New Roman" w:eastAsia="Times New Roman" w:hAnsi="Times New Roman"/>
          <w:b/>
          <w:bCs/>
          <w:i w:val="false"/>
          <w:iCs w:val="false"/>
          <w:sz w:val="21"/>
          <w:szCs w:val="21"/>
        </w:rPr>
        <w:t xml:space="preserve">WHAT I THINK CUTS AGAINST ME.</w:t>
      </w:r>
      <w:r>
        <w:rPr>
          <w:rFonts w:ascii="Times New Roman" w:cs="Times New Roman" w:eastAsia="Times New Roman" w:hAnsi="Times New Roman"/>
          <w:b w:val="false"/>
          <w:bCs w:val="false"/>
          <w:i w:val="false"/>
          <w:iCs w:val="false"/>
          <w:sz w:val="21"/>
          <w:szCs w:val="21"/>
        </w:rPr>
        <w:t xml:space="preserve"> The car is still in my possession under a month-to-month lease extension, has about 15,000 miles on it, and currently runs. The arbitrator relied on that, and I assume Hyundai will press it again. Vacatur is, as I understand it, a demanding remedy, and the realistic outcome may be a rehearing rather than a judgment in my favor. There is also unrelated collision damage to the right headlamp that I paid to repair in early 2026, which the dealer raised as a possible cause of the January no-start before confirming a covered defect; I expect Hyundai to raise it again. And I went through the hearing without a lawyer, which I now think cost me. There are almost certainly weaknesses I have not spotted, and I would rather be told the case is not worth bringing than spend a year finding that out.</w:t>
      </w:r>
    </w:p>
    <w:p>
      <w:pPr>
        <w:pBdr>
          <w:bottom w:val="single" w:color="000000" w:sz="6" w:space="1"/>
        </w:pBdr>
        <w:spacing w:after="50" w:before="110" w:line="240"/>
      </w:pPr>
      <w:r>
        <w:rPr>
          <w:rFonts w:ascii="Times New Roman" w:cs="Times New Roman" w:eastAsia="Times New Roman" w:hAnsi="Times New Roman"/>
          <w:b w:val="false"/>
          <w:bCs w:val="false"/>
          <w:i w:val="false"/>
          <w:iCs w:val="false"/>
          <w:sz w:val="21"/>
          <w:szCs w:val="21"/>
        </w:rPr>
        <w:t xml:space="preserve"/>
      </w:r>
    </w:p>
    <w:p>
      <w:pPr>
        <w:spacing w:after="0" w:before="0" w:line="240"/>
        <w:jc w:val="both"/>
      </w:pPr>
      <w:r>
        <w:rPr>
          <w:rFonts w:ascii="Times New Roman" w:cs="Times New Roman" w:eastAsia="Times New Roman" w:hAnsi="Times New Roman"/>
          <w:b w:val="false"/>
          <w:bCs w:val="false"/>
          <w:i/>
          <w:iCs/>
          <w:sz w:val="19"/>
          <w:szCs w:val="19"/>
        </w:rPr>
        <w:t xml:space="preserve">Every figure, date, repair-order number, and quotation above comes from a document in the file, and I can produce any of it on request. I am glad to do legwork and to be responsive, but I know the difference between reading cases and practicing law. Thank you for the time it took to read this.</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2026-07-28T00:33:40.535Z</dcterms:created>
  <dcterms:modified xsi:type="dcterms:W3CDTF">2026-07-28T00:33:40.535Z</dcterms:modified>
</cp:coreProperties>
</file>

<file path=docProps/custom.xml><?xml version="1.0" encoding="utf-8"?>
<Properties xmlns="http://schemas.openxmlformats.org/officeDocument/2006/custom-properties" xmlns:vt="http://schemas.openxmlformats.org/officeDocument/2006/docPropsVTypes"/>
</file>