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i w:val="false"/>
          <w:iCs w:val="false"/>
          <w:sz w:val="27"/>
          <w:szCs w:val="27"/>
        </w:rPr>
        <w:t xml:space="preserve">HU v. HYUNDAI MOTOR AMERICA</w:t>
      </w:r>
    </w:p>
    <w:p>
      <w:pPr>
        <w:spacing w:after="0" w:before="40" w:line="240"/>
        <w:jc w:val="center"/>
      </w:pPr>
      <w:r>
        <w:rPr>
          <w:rFonts w:ascii="Times New Roman" w:cs="Times New Roman" w:eastAsia="Times New Roman" w:hAnsi="Times New Roman"/>
          <w:b/>
          <w:bCs/>
          <w:i w:val="false"/>
          <w:iCs w:val="false"/>
          <w:sz w:val="22"/>
          <w:szCs w:val="22"/>
        </w:rPr>
        <w:t xml:space="preserve">Summary prepared for prospective counsel</w:t>
      </w:r>
    </w:p>
    <w:p>
      <w:pPr>
        <w:spacing w:after="0" w:before="40" w:line="240"/>
        <w:jc w:val="center"/>
      </w:pPr>
      <w:r>
        <w:rPr>
          <w:rFonts w:ascii="Times New Roman" w:cs="Times New Roman" w:eastAsia="Times New Roman" w:hAnsi="Times New Roman"/>
          <w:b w:val="false"/>
          <w:bCs w:val="false"/>
          <w:i w:val="false"/>
          <w:iCs w:val="false"/>
          <w:sz w:val="18"/>
          <w:szCs w:val="18"/>
        </w:rPr>
        <w:t xml:space="preserve">Jimmy Y. Hu  ·  320 West 38th Street, Apt. 2427, New York, NY 10018  ·  jimmy.hu@gmail.com</w:t>
      </w:r>
    </w:p>
    <w:p>
      <w:pPr>
        <w:pBdr>
          <w:bottom w:val="single" w:color="000000" w:sz="6" w:space="1"/>
        </w:pBdr>
        <w:spacing w:after="50" w:before="110" w:line="240"/>
      </w:pPr>
      <w:r>
        <w:rPr>
          <w:rFonts w:ascii="Times New Roman" w:cs="Times New Roman" w:eastAsia="Times New Roman" w:hAnsi="Times New Roman"/>
          <w:b w:val="false"/>
          <w:bCs w:val="false"/>
          <w:i w:val="false"/>
          <w:iCs w:val="false"/>
          <w:sz w:val="20"/>
          <w:szCs w:val="20"/>
        </w:rPr>
        <w:t xml:space="preserve"/>
      </w:r>
    </w:p>
    <w:p>
      <w:pPr>
        <w:spacing w:after="0" w:before="140" w:line="240"/>
        <w:jc w:val="both"/>
      </w:pPr>
      <w:r>
        <w:rPr>
          <w:rFonts w:ascii="Times New Roman" w:cs="Times New Roman" w:eastAsia="Times New Roman" w:hAnsi="Times New Roman"/>
          <w:b/>
          <w:bCs/>
          <w:i w:val="false"/>
          <w:iCs w:val="false"/>
          <w:sz w:val="20"/>
          <w:szCs w:val="20"/>
        </w:rPr>
        <w:t xml:space="preserve">WHAT I AM ASKING.</w:t>
      </w:r>
      <w:r>
        <w:rPr>
          <w:rFonts w:ascii="Times New Roman" w:cs="Times New Roman" w:eastAsia="Times New Roman" w:hAnsi="Times New Roman"/>
          <w:b w:val="false"/>
          <w:bCs w:val="false"/>
          <w:i w:val="false"/>
          <w:iCs w:val="false"/>
          <w:sz w:val="20"/>
          <w:szCs w:val="20"/>
        </w:rPr>
        <w:t xml:space="preserve"> Whether you would consider representing me in a challenge to an adverse New York lemon-law arbitration award. I am not a lawyer. Everything below the facts is guesswork by someone who has read too much and practiced nothing, and I would not want you to treat any of it as a position I am attached to — if the right move is something I have not thought of, or if there is no case here worth your time, that is what I want to hear. I understand GBL § 198-a(l) may provide for fees to a prevailing consumer, but whether it reaches a proceeding like this is your call, not mine. I am flexible on fee structure. The one thing I am confident about is the calendar: ninety days from delivery of the award puts any petition at SEPTEMBER 9, 2026.</w:t>
      </w:r>
    </w:p>
    <w:p>
      <w:pPr>
        <w:spacing w:after="0" w:before="140" w:line="240"/>
        <w:jc w:val="both"/>
      </w:pPr>
      <w:r>
        <w:rPr>
          <w:rFonts w:ascii="Times New Roman" w:cs="Times New Roman" w:eastAsia="Times New Roman" w:hAnsi="Times New Roman"/>
          <w:b/>
          <w:bCs/>
          <w:i w:val="false"/>
          <w:iCs w:val="false"/>
          <w:sz w:val="20"/>
          <w:szCs w:val="20"/>
        </w:rPr>
        <w:t xml:space="preserve">THE VEHICLE.</w:t>
      </w:r>
      <w:r>
        <w:rPr>
          <w:rFonts w:ascii="Times New Roman" w:cs="Times New Roman" w:eastAsia="Times New Roman" w:hAnsi="Times New Roman"/>
          <w:b w:val="false"/>
          <w:bCs w:val="false"/>
          <w:i w:val="false"/>
          <w:iCs w:val="false"/>
          <w:sz w:val="20"/>
          <w:szCs w:val="20"/>
        </w:rPr>
        <w:t xml:space="preserve"> A 2024 Hyundai IONIQ 5, leased new on May 23, 2024 from Koeppel Hyundai in Long Island City with 40 miles on it — twenty-four months, $314.00 per month, agreed value $53,360.77. All service has been at Hyundai of Paramus, New Jersey. The earliest repair order I have for a high-voltage battery problem is dated February 12, 2025, at 7,026 miles.</w:t>
      </w:r>
    </w:p>
    <w:p>
      <w:pPr>
        <w:spacing w:after="0" w:before="140" w:line="240"/>
        <w:jc w:val="both"/>
      </w:pPr>
      <w:r>
        <w:rPr>
          <w:rFonts w:ascii="Times New Roman" w:cs="Times New Roman" w:eastAsia="Times New Roman" w:hAnsi="Times New Roman"/>
          <w:b/>
          <w:bCs/>
          <w:i w:val="false"/>
          <w:iCs w:val="false"/>
          <w:sz w:val="20"/>
          <w:szCs w:val="20"/>
        </w:rPr>
        <w:t xml:space="preserve">THE FACT I KEEP RETURNING TO.</w:t>
      </w:r>
      <w:r>
        <w:rPr>
          <w:rFonts w:ascii="Times New Roman" w:cs="Times New Roman" w:eastAsia="Times New Roman" w:hAnsi="Times New Roman"/>
          <w:b w:val="false"/>
          <w:bCs w:val="false"/>
          <w:i w:val="false"/>
          <w:iCs w:val="false"/>
          <w:sz w:val="20"/>
          <w:szCs w:val="20"/>
        </w:rPr>
        <w:t xml:space="preserve"> Hyundai’s own repair order #358530 records the car in for repair from April 3 to August 5, 2025 — 124 calendar days — with the status field reading “VEH. DISABLED” and the odometer moving three miles, from 8,148 to 8,151, over four months. The high-voltage battery pack was replaced under warranty ($17,483.69 in warranty charges). My understanding is that § 198-a(d)(2) works off a thirty-day threshold, and you will know that provision far better than I do; what I can say is that the days are Hyundai’s own number, not mine, and that Hyundai has never disputed them. Whether they carry the weight I imagine is precisely what I cannot judge, and I would rather learn they do not before spending money finding out.</w:t>
      </w:r>
    </w:p>
    <w:p>
      <w:pPr>
        <w:spacing w:after="0" w:before="140" w:line="240"/>
        <w:jc w:val="both"/>
      </w:pPr>
      <w:r>
        <w:rPr>
          <w:rFonts w:ascii="Times New Roman" w:cs="Times New Roman" w:eastAsia="Times New Roman" w:hAnsi="Times New Roman"/>
          <w:b/>
          <w:bCs/>
          <w:i w:val="false"/>
          <w:iCs w:val="false"/>
          <w:sz w:val="20"/>
          <w:szCs w:val="20"/>
        </w:rPr>
        <w:t xml:space="preserve">AN INCONSISTENCY IN MY OWN PAPERS — please see it from me first.</w:t>
      </w:r>
      <w:r>
        <w:rPr>
          <w:rFonts w:ascii="Times New Roman" w:cs="Times New Roman" w:eastAsia="Times New Roman" w:hAnsi="Times New Roman"/>
          <w:b w:val="false"/>
          <w:bCs w:val="false"/>
          <w:i w:val="false"/>
          <w:iCs w:val="false"/>
          <w:sz w:val="20"/>
          <w:szCs w:val="20"/>
        </w:rPr>
        <w:t xml:space="preserve"> The Request for Arbitration Form I filed answers “when did you first report this problem” with April 3, 2025 at 8,148 miles — the opening of the 124-day order — not the February 12, 2025 order at 7,026 miles. Both documents are in the file and I have not tried to reconcile them; I suspect it is why Hyundai used 8,148 in its offers. It may matter to the refund arithmetic, or not at all, and I did not want you to come across it on your own.</w:t>
      </w:r>
    </w:p>
    <w:p>
      <w:pPr>
        <w:spacing w:after="0" w:before="140" w:line="240"/>
        <w:jc w:val="both"/>
      </w:pPr>
      <w:r>
        <w:rPr>
          <w:rFonts w:ascii="Times New Roman" w:cs="Times New Roman" w:eastAsia="Times New Roman" w:hAnsi="Times New Roman"/>
          <w:b/>
          <w:bCs/>
          <w:i w:val="false"/>
          <w:iCs w:val="false"/>
          <w:sz w:val="20"/>
          <w:szCs w:val="20"/>
        </w:rPr>
        <w:t xml:space="preserve">THE FEBRUARY 2026 RECURRENCE.</w:t>
      </w:r>
      <w:r>
        <w:rPr>
          <w:rFonts w:ascii="Times New Roman" w:cs="Times New Roman" w:eastAsia="Times New Roman" w:hAnsi="Times New Roman"/>
          <w:b w:val="false"/>
          <w:bCs w:val="false"/>
          <w:i w:val="false"/>
          <w:iCs w:val="false"/>
          <w:sz w:val="20"/>
          <w:szCs w:val="20"/>
        </w:rPr>
        <w:t xml:space="preserve"> On January 8, 2026 a dealer diagnostic returned seven fault codes, including P1BAD92 and C110213 (“Battery Voltage Low”), the codes associated with the original failure. On February 18, at 11,230 miles, the car would not start. Repair order #370267 reads “VERIFIED NEEDS JUMP TO START. TOO DEAD TO COMPLETE GDS,” and Paramus replaced the 12-volt battery under warranty after confirming a covered defect. I want to be precise where the award is not: that was a 12-volt battery, not a second high-voltage pack. Only one pack replacement appears anywhere in the record.</w:t>
      </w:r>
    </w:p>
    <w:p>
      <w:pPr>
        <w:spacing w:after="0" w:before="140" w:line="240"/>
        <w:jc w:val="both"/>
      </w:pPr>
      <w:r>
        <w:rPr>
          <w:rFonts w:ascii="Times New Roman" w:cs="Times New Roman" w:eastAsia="Times New Roman" w:hAnsi="Times New Roman"/>
          <w:b/>
          <w:bCs/>
          <w:i w:val="false"/>
          <w:iCs w:val="false"/>
          <w:sz w:val="20"/>
          <w:szCs w:val="20"/>
        </w:rPr>
        <w:t xml:space="preserve">THE AWARD.</w:t>
      </w:r>
      <w:r>
        <w:rPr>
          <w:rFonts w:ascii="Times New Roman" w:cs="Times New Roman" w:eastAsia="Times New Roman" w:hAnsi="Times New Roman"/>
          <w:b w:val="false"/>
          <w:bCs w:val="false"/>
          <w:i w:val="false"/>
          <w:iCs w:val="false"/>
          <w:sz w:val="20"/>
          <w:szCs w:val="20"/>
        </w:rPr>
        <w:t xml:space="preserve"> The arbitration was compulsory, under GBL § 198-a(k), administered by NYSDRA for the Attorney General. The hearing was held June 9, 2026 before Arbitrator Maneesha Sharma; the award issued June 11, 2026, “FOR THE MANUFACTURER.” Its reasoning, in full, is that the repair “needed back order parts which is a challenge in whole industry,” that a loaner was “provided no charge,” that there is “no guarantee by any manufacturer of a defect free car,” and that “[t]he manufacturer’s argument is compelling.” It ends: “Based on testimony that the vehicle is currently operating and no allegation that the use and value is impaired, the consumer has not met his burden of proof.”</w:t>
      </w:r>
    </w:p>
    <w:p>
      <w:pPr>
        <w:spacing w:after="0" w:before="140" w:line="240"/>
        <w:jc w:val="both"/>
      </w:pPr>
      <w:r>
        <w:rPr>
          <w:rFonts w:ascii="Times New Roman" w:cs="Times New Roman" w:eastAsia="Times New Roman" w:hAnsi="Times New Roman"/>
          <w:b/>
          <w:bCs/>
          <w:i w:val="false"/>
          <w:iCs w:val="false"/>
          <w:sz w:val="20"/>
          <w:szCs w:val="20"/>
        </w:rPr>
        <w:t xml:space="preserve">THINGS I NOTICED, PUT AS QUESTIONS.</w:t>
      </w:r>
      <w:r>
        <w:rPr>
          <w:rFonts w:ascii="Times New Roman" w:cs="Times New Roman" w:eastAsia="Times New Roman" w:hAnsi="Times New Roman"/>
          <w:b w:val="false"/>
          <w:bCs w:val="false"/>
          <w:i w:val="false"/>
          <w:iCs w:val="false"/>
          <w:sz w:val="20"/>
          <w:szCs w:val="20"/>
        </w:rPr>
        <w:t xml:space="preserve"> These are the four things a layman kept snagging on. I offer them as questions because I am in no position to answer them, and I am aware that reading a case is not the same as knowing how it is actually used. If they are naive, or already answered, please just say so — I will not be offended, and I would rather you spend your time on what actually matters.</w:t>
      </w:r>
    </w:p>
    <w:p>
      <w:pPr>
        <w:spacing w:after="0" w:before="90" w:line="240"/>
        <w:ind w:left="360" w:hanging="180"/>
        <w:jc w:val="both"/>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iCs/>
          <w:sz w:val="20"/>
          <w:szCs w:val="20"/>
        </w:rPr>
        <w:t xml:space="preserve">Does the award contradict itself?</w:t>
      </w:r>
      <w:r>
        <w:rPr>
          <w:rFonts w:ascii="Times New Roman" w:cs="Times New Roman" w:eastAsia="Times New Roman" w:hAnsi="Times New Roman"/>
          <w:b w:val="false"/>
          <w:bCs w:val="false"/>
          <w:i w:val="false"/>
          <w:iCs w:val="false"/>
          <w:sz w:val="20"/>
          <w:szCs w:val="20"/>
        </w:rPr>
        <w:t xml:space="preserve"> The sentence that decides the case says there was “no allegation that the use and value is impaired.” It sits in the same paragraph as the arbitrator’s own summary of the impairment I did allege — and the form that opened the proceeding answers “yes” to the program’s own question about substantial impairment. To me that reads like a statement about what is in the record rather than a credibility call, but I may well be drawing a distinction that does not exist in practice.</w:t>
      </w:r>
    </w:p>
    <w:p>
      <w:pPr>
        <w:spacing w:after="0" w:before="90" w:line="240"/>
        <w:ind w:left="360" w:hanging="180"/>
        <w:jc w:val="both"/>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iCs/>
          <w:sz w:val="20"/>
          <w:szCs w:val="20"/>
        </w:rPr>
        <w:t xml:space="preserve">Does the “currently operating” rationale hold up?</w:t>
      </w:r>
      <w:r>
        <w:rPr>
          <w:rFonts w:ascii="Times New Roman" w:cs="Times New Roman" w:eastAsia="Times New Roman" w:hAnsi="Times New Roman"/>
          <w:b w:val="false"/>
          <w:bCs w:val="false"/>
          <w:i w:val="false"/>
          <w:iCs w:val="false"/>
          <w:sz w:val="20"/>
          <w:szCs w:val="20"/>
        </w:rPr>
        <w:t xml:space="preserve"> The award turns on the car running at the time of the hearing. I came across Matter of DaimlerChrysler Corp. v Spitzer, 7 NY3d 653 (2006), which I read as pointing the other way, though I am conscious that I am reading it cold and without the surrounding practice.</w:t>
      </w:r>
    </w:p>
    <w:p>
      <w:pPr>
        <w:spacing w:after="0" w:before="90" w:line="240"/>
        <w:ind w:left="360" w:hanging="180"/>
        <w:jc w:val="both"/>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iCs/>
          <w:sz w:val="20"/>
          <w:szCs w:val="20"/>
        </w:rPr>
        <w:t xml:space="preserve">Did the findings ever reach the thirty-day claim?</w:t>
      </w:r>
      <w:r>
        <w:rPr>
          <w:rFonts w:ascii="Times New Roman" w:cs="Times New Roman" w:eastAsia="Times New Roman" w:hAnsi="Times New Roman"/>
          <w:b w:val="false"/>
          <w:bCs w:val="false"/>
          <w:i w:val="false"/>
          <w:iCs w:val="false"/>
          <w:sz w:val="20"/>
          <w:szCs w:val="20"/>
        </w:rPr>
        <w:t xml:space="preserve"> The four-attempt and thirty-day routes look independent to me, and the findings seem to engage the first without addressing the 124 days. I also noticed that the extension provision in § 198-a(e) lists war, invasion, strike, fire, flood, and natural disaster, and does not mention a parts backorder — which was the arbitrator’s stated reason. Whether that reading survives contact with how these cases are actually argued, I have no idea.</w:t>
      </w:r>
    </w:p>
    <w:p>
      <w:pPr>
        <w:spacing w:after="0" w:before="90" w:line="240"/>
        <w:ind w:left="360" w:hanging="180"/>
        <w:jc w:val="both"/>
      </w:pP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bCs/>
          <w:i/>
          <w:iCs/>
          <w:sz w:val="20"/>
          <w:szCs w:val="20"/>
        </w:rPr>
        <w:t xml:space="preserve">Do the errors in the award amount to anything?</w:t>
      </w:r>
      <w:r>
        <w:rPr>
          <w:rFonts w:ascii="Times New Roman" w:cs="Times New Roman" w:eastAsia="Times New Roman" w:hAnsi="Times New Roman"/>
          <w:b w:val="false"/>
          <w:bCs w:val="false"/>
          <w:i w:val="false"/>
          <w:iCs w:val="false"/>
          <w:sz w:val="20"/>
          <w:szCs w:val="20"/>
        </w:rPr>
        <w:t xml:space="preserve"> It describes a “new 2024 WAGON ION” bought from “Hyundai Brooklyn” (it was Koeppel, in Long Island City), gives the controlling repair order as “RO 258530” rather than #358530, and attributes the February 2026 failure to “RO 363888 mileage 8662” — an unrelated August 2025 visit at which no work was done. It may be that sloppiness of this kind is common and legally inert. That is exactly the sort of thing I have no way to calibrate.</w:t>
      </w:r>
    </w:p>
    <w:p>
      <w:pPr>
        <w:spacing w:after="0" w:before="140" w:line="240"/>
        <w:jc w:val="both"/>
      </w:pPr>
      <w:r>
        <w:rPr>
          <w:rFonts w:ascii="Times New Roman" w:cs="Times New Roman" w:eastAsia="Times New Roman" w:hAnsi="Times New Roman"/>
          <w:b/>
          <w:bCs/>
          <w:i w:val="false"/>
          <w:iCs w:val="false"/>
          <w:sz w:val="20"/>
          <w:szCs w:val="20"/>
        </w:rPr>
        <w:t xml:space="preserve">ON THE STANDARD OF REVIEW — offered only so you know where I got the idea.</w:t>
      </w:r>
      <w:r>
        <w:rPr>
          <w:rFonts w:ascii="Times New Roman" w:cs="Times New Roman" w:eastAsia="Times New Roman" w:hAnsi="Times New Roman"/>
          <w:b w:val="false"/>
          <w:bCs w:val="false"/>
          <w:i w:val="false"/>
          <w:iCs w:val="false"/>
          <w:sz w:val="20"/>
          <w:szCs w:val="20"/>
        </w:rPr>
        <w:t xml:space="preserve"> What sent me down this road was reading that because a lemon-law arbitration is compulsory rather than contractual, review is less deferential than in an ordinary Article 75 case. The cases I found were Motor Veh. Mfrs. Assn. of U.S. v State of New York, 75 NY2d 175 (1990) and Matter of General Motors Corp. [Gurau], 33 AD3d 1149 (3d Dept 2006), and I saw two First Department decisions that appear to have vacated lemon-law awards — Matter of BMW of N. Am., LLC v Leonidou, 2020 NY Slip Op 02858, and v Riina, 149 AD3d 420. I cite them only so you can see my reasoning and correct it, not as authority for anything. I have no way to know whether they are good law, distinguishable, or beside the point.</w:t>
      </w:r>
    </w:p>
    <w:p>
      <w:pPr>
        <w:spacing w:after="0" w:before="140" w:line="240"/>
        <w:jc w:val="both"/>
      </w:pPr>
      <w:r>
        <w:rPr>
          <w:rFonts w:ascii="Times New Roman" w:cs="Times New Roman" w:eastAsia="Times New Roman" w:hAnsi="Times New Roman"/>
          <w:b/>
          <w:bCs/>
          <w:i w:val="false"/>
          <w:iCs w:val="false"/>
          <w:sz w:val="20"/>
          <w:szCs w:val="20"/>
        </w:rPr>
        <w:t xml:space="preserve">SETTLEMENT HISTORY.</w:t>
      </w:r>
      <w:r>
        <w:rPr>
          <w:rFonts w:ascii="Times New Roman" w:cs="Times New Roman" w:eastAsia="Times New Roman" w:hAnsi="Times New Roman"/>
          <w:b w:val="false"/>
          <w:bCs w:val="false"/>
          <w:i w:val="false"/>
          <w:iCs w:val="false"/>
          <w:sz w:val="20"/>
          <w:szCs w:val="20"/>
        </w:rPr>
        <w:t xml:space="preserve"> In August 2025 Hyundai offered either $4,000 to keep the car or repurchase with restitution of $7,977.00, mileage deduction expressly waived. I accepted the cash option in writing that September. The deal died on the release terms — a Civil Code § 1542 unknown-claims waiver, plus confidentiality and indemnity provisions — not on price; I asked for three edits and never got a substantive response. A second offer in January 2026 dropped to $5,388.51 and applied a $4,326.49 mileage deduction computed from an 8,148-mile reading. It lapsed after sixty days, while prior counsel held the file. Hyundai then withdrew repurchase and conveyed $2,500 through that counsel on May 11, 2026, weeks before the hearing. I also have $1,793.43 in documented out-of-pocket costs. I have no view on what the matter is worth and would follow your judgment entirely.</w:t>
      </w:r>
    </w:p>
    <w:p>
      <w:pPr>
        <w:spacing w:after="0" w:before="140" w:line="240"/>
        <w:jc w:val="both"/>
      </w:pPr>
      <w:r>
        <w:rPr>
          <w:rFonts w:ascii="Times New Roman" w:cs="Times New Roman" w:eastAsia="Times New Roman" w:hAnsi="Times New Roman"/>
          <w:b/>
          <w:bCs/>
          <w:i w:val="false"/>
          <w:iCs w:val="false"/>
          <w:sz w:val="20"/>
          <w:szCs w:val="20"/>
        </w:rPr>
        <w:t xml:space="preserve">ONE QUESTION I COULD NOT RESOLVE.</w:t>
      </w:r>
      <w:r>
        <w:rPr>
          <w:rFonts w:ascii="Times New Roman" w:cs="Times New Roman" w:eastAsia="Times New Roman" w:hAnsi="Times New Roman"/>
          <w:b w:val="false"/>
          <w:bCs w:val="false"/>
          <w:i w:val="false"/>
          <w:iCs w:val="false"/>
          <w:sz w:val="20"/>
          <w:szCs w:val="20"/>
        </w:rPr>
        <w:t xml:space="preserve"> In checking the arithmetic on that January offer I repeatedly found the statutory mileage-deduction formula described as running only on mileage above the first twelve thousand miles. If that is the operative text, no use deduction would apply here at all, since the readings in question are 7,026 and 8,148. I could not confirm the language against an official source, so I am not asserting it — I raise it only because you would know in a moment whether it holds, and it moves the numbers if it does.</w:t>
      </w:r>
    </w:p>
    <w:p>
      <w:pPr>
        <w:spacing w:after="0" w:before="140" w:line="240"/>
        <w:jc w:val="both"/>
      </w:pPr>
      <w:r>
        <w:rPr>
          <w:rFonts w:ascii="Times New Roman" w:cs="Times New Roman" w:eastAsia="Times New Roman" w:hAnsi="Times New Roman"/>
          <w:b/>
          <w:bCs/>
          <w:i w:val="false"/>
          <w:iCs w:val="false"/>
          <w:sz w:val="20"/>
          <w:szCs w:val="20"/>
        </w:rPr>
        <w:t xml:space="preserve">WHAT I HAVE ASSEMBLED — a starting point, not a prescription.</w:t>
      </w:r>
      <w:r>
        <w:rPr>
          <w:rFonts w:ascii="Times New Roman" w:cs="Times New Roman" w:eastAsia="Times New Roman" w:hAnsi="Times New Roman"/>
          <w:b w:val="false"/>
          <w:bCs w:val="false"/>
          <w:i w:val="false"/>
          <w:iCs w:val="false"/>
          <w:sz w:val="20"/>
          <w:szCs w:val="20"/>
        </w:rPr>
        <w:t xml:space="preserve"> The record is complete and organized: the award and decision letter, the full repair-order set, the arbitration form, the lease, both offers, the proposed release, the expense packet with receipts, and the correspondence file. Working through this alone I also drafted a petition, a notice of petition, and a memorandum of law. I offer them only so that nobody has to start from a blank page, and I would expect them to be rewritten or thrown out; I will not be precious about a word of it. Nothing has been filed — no proceeding is pending and the ninety days have not run.</w:t>
      </w:r>
    </w:p>
    <w:p>
      <w:pPr>
        <w:spacing w:after="0" w:before="140" w:line="240"/>
        <w:jc w:val="both"/>
      </w:pPr>
      <w:r>
        <w:rPr>
          <w:rFonts w:ascii="Times New Roman" w:cs="Times New Roman" w:eastAsia="Times New Roman" w:hAnsi="Times New Roman"/>
          <w:b/>
          <w:bCs/>
          <w:i w:val="false"/>
          <w:iCs w:val="false"/>
          <w:sz w:val="20"/>
          <w:szCs w:val="20"/>
        </w:rPr>
        <w:t xml:space="preserve">WHAT I THINK CUTS AGAINST ME.</w:t>
      </w:r>
      <w:r>
        <w:rPr>
          <w:rFonts w:ascii="Times New Roman" w:cs="Times New Roman" w:eastAsia="Times New Roman" w:hAnsi="Times New Roman"/>
          <w:b w:val="false"/>
          <w:bCs w:val="false"/>
          <w:i w:val="false"/>
          <w:iCs w:val="false"/>
          <w:sz w:val="20"/>
          <w:szCs w:val="20"/>
        </w:rPr>
        <w:t xml:space="preserve"> The car is still in my possession under a month-to-month lease extension, has about 15,000 miles on it, and currently runs. The arbitrator relied on that and I assume Hyundai will press it again, though the award does record that I extended the lease to keep the car available for inspection. I gather vacatur is a demanding remedy and that a rehearing may be the realistic ceiling rather than a judgment in my favor. There is also unrelated collision damage to the right headlamp that I paid to repair in early 2026, which the dealer floated as a possible cause of the January no-start before confirming a covered defect; I expect it to come up. And I went through the hearing without a lawyer, which I now think cost me. There are certainly weaknesses I have not spotted, and I would rather be told the case is not worth bringing than discover it a year from now.</w:t>
      </w:r>
    </w:p>
    <w:p>
      <w:pPr>
        <w:pBdr>
          <w:bottom w:val="single" w:color="000000" w:sz="6" w:space="1"/>
        </w:pBdr>
        <w:spacing w:after="50" w:before="110" w:line="240"/>
      </w:pPr>
      <w:r>
        <w:rPr>
          <w:rFonts w:ascii="Times New Roman" w:cs="Times New Roman" w:eastAsia="Times New Roman" w:hAnsi="Times New Roman"/>
          <w:b w:val="false"/>
          <w:bCs w:val="false"/>
          <w:i w:val="false"/>
          <w:iCs w:val="false"/>
          <w:sz w:val="20"/>
          <w:szCs w:val="20"/>
        </w:rPr>
        <w:t xml:space="preserve"/>
      </w:r>
    </w:p>
    <w:p>
      <w:pPr>
        <w:spacing w:after="0" w:before="0" w:line="240"/>
        <w:jc w:val="both"/>
      </w:pPr>
      <w:r>
        <w:rPr>
          <w:rFonts w:ascii="Times New Roman" w:cs="Times New Roman" w:eastAsia="Times New Roman" w:hAnsi="Times New Roman"/>
          <w:b w:val="false"/>
          <w:bCs w:val="false"/>
          <w:i/>
          <w:iCs/>
          <w:sz w:val="18"/>
          <w:szCs w:val="18"/>
        </w:rPr>
        <w:t xml:space="preserve">Every figure, date, repair-order number, and quotation above comes from a document in the file, and I can produce any of it on request. The facts I stand behind. The analysis is a layman’s, offered for you to correct or discard as you see fit — I know the difference between reading cases and practicing law, and I am looking for someone whose judgment I can defer to. Thank you for the time it took to read this.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2026-07-29T05:57:41.170Z</dcterms:created>
  <dcterms:modified xsi:type="dcterms:W3CDTF">2026-07-29T05:57:41.190Z</dcterms:modified>
</cp:coreProperties>
</file>

<file path=docProps/custom.xml><?xml version="1.0" encoding="utf-8"?>
<Properties xmlns="http://schemas.openxmlformats.org/officeDocument/2006/custom-properties" xmlns:vt="http://schemas.openxmlformats.org/officeDocument/2006/docPropsVTypes"/>
</file>