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VERIFIED PETITION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Petitioner Jimmy Y. Hu, M.D., appearing pro se, as and for his Verified Petition pursuant to Article 75 of the Civil Practice Law and Rules, alleges upon personal knowledge as to his own acts, and upon the documents annexed hereto as to all other matters, as follows:</w:t>
      </w:r>
    </w:p>
    <w:p>
      <w:pPr>
        <w:spacing w:after="120" w:before="240" w:line="480"/>
        <w:jc w:val="center"/>
      </w:pPr>
      <w:r>
        <w:rPr>
          <w:rFonts w:ascii="Times New Roman" w:cs="Times New Roman" w:eastAsia="Times New Roman" w:hAnsi="Times New Roman"/>
          <w:b/>
          <w:bCs/>
          <w:sz w:val="24"/>
          <w:szCs w:val="24"/>
        </w:rPr>
        <w:t xml:space="preserve">NATURE OF THE PROCEEDING</w:t>
      </w:r>
    </w:p>
    <w:p>
      <w:pPr>
        <w:spacing w:after="0" w:before="0" w:line="480"/>
        <w:ind w:firstLine="720"/>
        <w:jc w:val="both"/>
      </w:pPr>
      <w:r>
        <w:rPr>
          <w:rFonts w:ascii="Times New Roman" w:cs="Times New Roman" w:eastAsia="Times New Roman" w:hAnsi="Times New Roman"/>
          <w:sz w:val="24"/>
          <w:szCs w:val="24"/>
        </w:rPr>
        <w:t xml:space="preserve">1. This is a special proceeding to vacate a compulsory arbitration award rendered under New York’s New Car Lemon Law, General Business Law § 198-a, on the ground that the arbitrator exceeded her power within the meaning of CPLR 7511 (b) (1) (iii).</w:t>
      </w:r>
    </w:p>
    <w:p>
      <w:pPr>
        <w:spacing w:after="0" w:before="0" w:line="480"/>
        <w:ind w:firstLine="720"/>
        <w:jc w:val="both"/>
      </w:pPr>
      <w:r>
        <w:rPr>
          <w:rFonts w:ascii="Times New Roman" w:cs="Times New Roman" w:eastAsia="Times New Roman" w:hAnsi="Times New Roman"/>
          <w:sz w:val="24"/>
          <w:szCs w:val="24"/>
        </w:rPr>
        <w:t xml:space="preserve">2. Petitioner leased a new 2024 Hyundai IONIQ 5 SEL AWD. Within its first year of service the vehicle’s high-voltage battery system assembly required complete replacement under warranty. On a single repair order generated and maintained by Respondent’s own authorized dealer — Repair Order #358530, bearing the notation “VEH. DISABLED” — the vehicle sat out of service for 124 consecutive calendar days, from April 3, 2025 to August 5, 2025, during which its odometer advanced three miles. One hundred twenty-four days is more than four times the thirty-day threshold that General Business Law § 198-a (d) (2) fixes as a matter of law.</w:t>
      </w:r>
    </w:p>
    <w:p>
      <w:pPr>
        <w:spacing w:after="0" w:before="0" w:line="480"/>
        <w:ind w:firstLine="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 </w:t>
      </w:r>
      <w:r>
        <w:rPr>
          <w:rFonts w:ascii="Times New Roman" w:cs="Times New Roman" w:eastAsia="Times New Roman" w:hAnsi="Times New Roman"/>
          <w:sz w:val="24"/>
          <w:szCs w:val="24"/>
        </w:rPr>
        <w:t xml:space="preserve">“Based on testimony that the vehicle is currently operating and no allegation that the use and value is impaired, the consumer has not met his burden of proof.”</w:t>
      </w:r>
      <w:r>
        <w:rPr>
          <w:rFonts w:ascii="Times New Roman" w:cs="Times New Roman" w:eastAsia="Times New Roman" w:hAnsi="Times New Roman"/>
          <w:sz w:val="24"/>
          <w:szCs w:val="24"/>
        </w:rPr>
        <w:t xml:space="preserve"> That sentence rests on two independent errors. The assertion that there was “no allegation” of impairment is refuted by the arbitrator’s own summary of Petitioner’s case, set out in the very same paragraph of the same award. And the reliance on the vehicle’s operability at the hearing applies a standard the Court of Appeals repudiated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that the thirty-day prong of section 198-a (d) (2) does not contain.</w:t>
      </w:r>
    </w:p>
    <w:p>
      <w:pPr>
        <w:spacing w:after="0" w:before="0" w:line="480"/>
        <w:ind w:firstLine="720"/>
        <w:jc w:val="both"/>
      </w:pPr>
      <w:r>
        <w:rPr>
          <w:rFonts w:ascii="Times New Roman" w:cs="Times New Roman" w:eastAsia="Times New Roman" w:hAnsi="Times New Roman"/>
          <w:sz w:val="24"/>
          <w:szCs w:val="24"/>
        </w:rPr>
        <w:t xml:space="preserve">4. Because arbitration under General Business Law § 198-a (k) is compulsory as to the manufacturer, judicial review under Article 75 is broad: the award must accord with due process, be supported by adequate evidence in the record, and be rational and not arbitrary and capricious. This award satisfies none of those requirements.</w:t>
      </w:r>
    </w:p>
    <w:p>
      <w:pPr>
        <w:spacing w:after="120" w:before="240" w:line="480"/>
        <w:jc w:val="center"/>
      </w:pPr>
      <w:r>
        <w:rPr>
          <w:rFonts w:ascii="Times New Roman" w:cs="Times New Roman" w:eastAsia="Times New Roman" w:hAnsi="Times New Roman"/>
          <w:b/>
          <w:bCs/>
          <w:sz w:val="24"/>
          <w:szCs w:val="24"/>
        </w:rPr>
        <w:t xml:space="preserve">THE PARTIES</w:t>
      </w:r>
    </w:p>
    <w:p>
      <w:pPr>
        <w:spacing w:after="0" w:before="0" w:line="480"/>
        <w:ind w:firstLine="720"/>
        <w:jc w:val="both"/>
      </w:pPr>
      <w:r>
        <w:rPr>
          <w:rFonts w:ascii="Times New Roman" w:cs="Times New Roman" w:eastAsia="Times New Roman" w:hAnsi="Times New Roman"/>
          <w:sz w:val="24"/>
          <w:szCs w:val="24"/>
        </w:rPr>
        <w:t xml:space="preserve">5. Petitioner Jimmy Y. Hu, M.D. is a natural person residing at 320 West 38th Street, Apartment 2427, New York, New York 10018, in New York County. He is a practicing physician. Petitioner leased the subject vehicle for personal, family and household purposes and is a “consumer” within the meaning of General Business Law § 198-a (a).</w:t>
      </w:r>
    </w:p>
    <w:p>
      <w:pPr>
        <w:spacing w:after="0" w:before="0" w:line="480"/>
        <w:ind w:firstLine="720"/>
        <w:jc w:val="both"/>
      </w:pPr>
      <w:r>
        <w:rPr>
          <w:rFonts w:ascii="Times New Roman" w:cs="Times New Roman" w:eastAsia="Times New Roman" w:hAnsi="Times New Roman"/>
          <w:sz w:val="24"/>
          <w:szCs w:val="24"/>
        </w:rPr>
        <w:t xml:space="preserve">6. Respondent Hyundai Motor America is a foreign corporation [organized under the laws of the State of ____________] that distributes Hyundai motor vehicles for sale and lease in the State of New York and issues the express warranties accompanying them. Respondent is a “manufacturer” within the meaning of General Business Law § 198-a (a). The address at which Respondent was served with process in the underlying arbitration is 1122 Cranbury South River Road, Jamesburg, New Jersey 08831.</w:t>
      </w:r>
    </w:p>
    <w:p>
      <w:pPr>
        <w:spacing w:after="0" w:before="0" w:line="480"/>
        <w:ind w:firstLine="720"/>
        <w:jc w:val="both"/>
      </w:pPr>
      <w:r>
        <w:rPr>
          <w:rFonts w:ascii="Times New Roman" w:cs="Times New Roman" w:eastAsia="Times New Roman" w:hAnsi="Times New Roman"/>
          <w:sz w:val="24"/>
          <w:szCs w:val="24"/>
        </w:rPr>
        <w:t xml:space="preserve">7. The underlying arbitration was administered by the New York State Dispute Resolution Association, Inc. on behalf of the Attorney General of the State of New York, and was assigned to the New York Peace Institute Community Dispute Resolution Center. Neither the administrator, the community dispute resolution center, the Attorney General, nor the arbitrator is a party to the arbitration or to this proceeding, and none is named as a respondent herein. The award itself provides that “a dissatisfied party, pursuant to CPLR Article 75, may seek judicial relief, by filing an application in court within 90 days of receiving this award.”</w:t>
      </w:r>
    </w:p>
    <w:p>
      <w:pPr>
        <w:spacing w:after="120" w:before="240" w:line="480"/>
        <w:jc w:val="center"/>
      </w:pPr>
      <w:r>
        <w:rPr>
          <w:rFonts w:ascii="Times New Roman" w:cs="Times New Roman" w:eastAsia="Times New Roman" w:hAnsi="Times New Roman"/>
          <w:b/>
          <w:bCs/>
          <w:sz w:val="24"/>
          <w:szCs w:val="24"/>
        </w:rPr>
        <w:t xml:space="preserve">JURISDICTION, VENUE AND TIMELINESS</w:t>
      </w:r>
    </w:p>
    <w:p>
      <w:pPr>
        <w:spacing w:after="0" w:before="0" w:line="480"/>
        <w:ind w:firstLine="720"/>
        <w:jc w:val="both"/>
      </w:pPr>
      <w:r>
        <w:rPr>
          <w:rFonts w:ascii="Times New Roman" w:cs="Times New Roman" w:eastAsia="Times New Roman" w:hAnsi="Times New Roman"/>
          <w:sz w:val="24"/>
          <w:szCs w:val="24"/>
        </w:rPr>
        <w:t xml:space="preserve">8. This Court has jurisdiction pursuant to CPLR 7502 (a) and 7511. The proceeding is brought as a special proceeding under CPLR Article 4.</w:t>
      </w:r>
    </w:p>
    <w:p>
      <w:pPr>
        <w:spacing w:after="0" w:before="0" w:line="480"/>
        <w:ind w:firstLine="720"/>
        <w:jc w:val="both"/>
      </w:pPr>
      <w:r>
        <w:rPr>
          <w:rFonts w:ascii="Times New Roman" w:cs="Times New Roman" w:eastAsia="Times New Roman" w:hAnsi="Times New Roman"/>
          <w:sz w:val="24"/>
          <w:szCs w:val="24"/>
        </w:rPr>
        <w:t xml:space="preserve">9. Venue is properly placed in New York County pursuant to CPLR 7502 (a) (i), because Petitioner resides in New York County. No agreement between the parties designates a different county.</w:t>
      </w:r>
    </w:p>
    <w:p>
      <w:pPr>
        <w:spacing w:after="0" w:before="0" w:line="480"/>
        <w:ind w:firstLine="720"/>
        <w:jc w:val="both"/>
      </w:pPr>
      <w:r>
        <w:rPr>
          <w:rFonts w:ascii="Times New Roman" w:cs="Times New Roman" w:eastAsia="Times New Roman" w:hAnsi="Times New Roman"/>
          <w:sz w:val="24"/>
          <w:szCs w:val="24"/>
        </w:rPr>
        <w:t xml:space="preserve">10. The award is dated June 11, 2026 and was transmitted to Petitioner by electronic mail from the administrator on that date at 2:24 p.m. Eastern Time, together with a Decision Letter of the same date. This proceeding is commenced within ninety days of delivery of the award and is therefore timely under CPLR 7511 (a). (Ex. A.)</w:t>
      </w:r>
    </w:p>
    <w:p>
      <w:pPr>
        <w:spacing w:after="120" w:before="240" w:line="480"/>
        <w:jc w:val="center"/>
      </w:pPr>
      <w:r>
        <w:rPr>
          <w:rFonts w:ascii="Times New Roman" w:cs="Times New Roman" w:eastAsia="Times New Roman" w:hAnsi="Times New Roman"/>
          <w:b/>
          <w:bCs/>
          <w:sz w:val="24"/>
          <w:szCs w:val="24"/>
        </w:rPr>
        <w:t xml:space="preserve">THE VEHICLE, THE LEASE AND THE WARRANTY</w:t>
      </w:r>
    </w:p>
    <w:p>
      <w:pPr>
        <w:spacing w:after="0" w:before="0" w:line="480"/>
        <w:ind w:firstLine="720"/>
        <w:jc w:val="both"/>
      </w:pPr>
      <w:r>
        <w:rPr>
          <w:rFonts w:ascii="Times New Roman" w:cs="Times New Roman" w:eastAsia="Times New Roman" w:hAnsi="Times New Roman"/>
          <w:sz w:val="24"/>
          <w:szCs w:val="24"/>
        </w:rPr>
        <w:t xml:space="preserve">11. On May 23, 2024, Petitioner leased a new 2024 Hyundai IONIQ 5 SEL AWD, Vehicle Identification No. KM8KNDDF9RU253237, from Koeppel Hyundai, 34-54 44th Street, Long Island City, New York. (Ex. E.)</w:t>
      </w:r>
    </w:p>
    <w:p>
      <w:pPr>
        <w:spacing w:after="0" w:before="0" w:line="480"/>
        <w:ind w:firstLine="720"/>
        <w:jc w:val="both"/>
      </w:pPr>
      <w:r>
        <w:rPr>
          <w:rFonts w:ascii="Times New Roman" w:cs="Times New Roman" w:eastAsia="Times New Roman" w:hAnsi="Times New Roman"/>
          <w:sz w:val="24"/>
          <w:szCs w:val="24"/>
        </w:rPr>
        <w:t xml:space="preserve">12. The vehicle was delivered with 40 miles on the odometer. The agreed value of the vehicle was $53,360.77; the gross capitalized cost was $54,597.70; Petitioner made a capitalized cost reduction of $2,953.00 at signing; and the monthly payment was $314.00, due on the twenty-third day of each month, over a twenty-four month term. (Ex. E.)</w:t>
      </w:r>
    </w:p>
    <w:p>
      <w:pPr>
        <w:spacing w:after="0" w:before="0" w:line="480"/>
        <w:ind w:firstLine="720"/>
        <w:jc w:val="both"/>
      </w:pPr>
      <w:r>
        <w:rPr>
          <w:rFonts w:ascii="Times New Roman" w:cs="Times New Roman" w:eastAsia="Times New Roman" w:hAnsi="Times New Roman"/>
          <w:sz w:val="24"/>
          <w:szCs w:val="24"/>
        </w:rPr>
        <w:t xml:space="preserve">13. The vehicle was registered in the State of New York and was used primarily for personal, family and household purposes. Warranty service was performed at Hyundai of Paramus, 234 Route 4 East, Paramus, New Jersey, an authorized Hyundai dealer.</w:t>
      </w:r>
    </w:p>
    <w:p>
      <w:pPr>
        <w:spacing w:after="0" w:before="0" w:line="480"/>
        <w:ind w:firstLine="720"/>
        <w:jc w:val="both"/>
      </w:pPr>
      <w:r>
        <w:rPr>
          <w:rFonts w:ascii="Times New Roman" w:cs="Times New Roman" w:eastAsia="Times New Roman" w:hAnsi="Times New Roman"/>
          <w:sz w:val="24"/>
          <w:szCs w:val="24"/>
        </w:rPr>
        <w:t xml:space="preserve">14. General Business Law § 198-a (b) (1) obligates the manufacturer to make the repairs necessary to conform the vehicle to its express warranties if the vehicle does not so conform during the first eighteen thousand miles of operation or during the period of two years following the date of original delivery, whichever is earlier. Every event alleged below occurred within both limits.</w:t>
      </w:r>
    </w:p>
    <w:p>
      <w:pPr>
        <w:spacing w:after="120" w:before="240" w:line="480"/>
        <w:jc w:val="center"/>
      </w:pPr>
      <w:r>
        <w:rPr>
          <w:rFonts w:ascii="Times New Roman" w:cs="Times New Roman" w:eastAsia="Times New Roman" w:hAnsi="Times New Roman"/>
          <w:b/>
          <w:bCs/>
          <w:sz w:val="24"/>
          <w:szCs w:val="24"/>
        </w:rPr>
        <w:t xml:space="preserve">THE NONCONFORMITY</w:t>
      </w:r>
    </w:p>
    <w:p>
      <w:pPr>
        <w:spacing w:after="0" w:before="0" w:line="480"/>
        <w:ind w:firstLine="720"/>
        <w:jc w:val="both"/>
      </w:pPr>
      <w:r>
        <w:rPr>
          <w:rFonts w:ascii="Times New Roman" w:cs="Times New Roman" w:eastAsia="Times New Roman" w:hAnsi="Times New Roman"/>
          <w:sz w:val="24"/>
          <w:szCs w:val="24"/>
        </w:rPr>
        <w:t xml:space="preserve">15. The vehicle suffered a recurring defect in its high-voltage battery system, manifesting in an inability to hold charge and, ultimately, in complete failure to start. Diagnostic trouble codes P1BAD92 and C110213 (Battery Voltage Low) are recorded in Respondent’s own diagnostic materials. (Exs. C, D, J.)</w:t>
      </w:r>
    </w:p>
    <w:p>
      <w:pPr>
        <w:spacing w:after="0" w:before="0" w:line="480"/>
        <w:ind w:firstLine="720"/>
        <w:jc w:val="both"/>
      </w:pPr>
      <w:r>
        <w:rPr>
          <w:rFonts w:ascii="Times New Roman" w:cs="Times New Roman" w:eastAsia="Times New Roman" w:hAnsi="Times New Roman"/>
          <w:sz w:val="24"/>
          <w:szCs w:val="24"/>
        </w:rPr>
        <w:t xml:space="preserve">16. Petitioner first reported a nonconformity on February 12, 2025, at 7,026 miles, under Repair Order #356398, which also addressed Recall 272 (ICCU software). (Ex. C.) The 7,026-mile figure is the odometer reading at the first report of the nonconformity and is the figure from which any statutory allowance for use must be measured. See GBL § 198-a (c) (1).</w:t>
      </w:r>
    </w:p>
    <w:p>
      <w:pPr>
        <w:spacing w:after="0" w:before="0" w:line="480"/>
        <w:ind w:firstLine="720"/>
        <w:jc w:val="both"/>
      </w:pPr>
      <w:r>
        <w:rPr>
          <w:rFonts w:ascii="Times New Roman" w:cs="Times New Roman" w:eastAsia="Times New Roman" w:hAnsi="Times New Roman"/>
          <w:sz w:val="24"/>
          <w:szCs w:val="24"/>
        </w:rPr>
        <w:t xml:space="preserve">17. The defect was not cured by that visit. The vehicle ultimately required complete replacement of its high-voltage battery system assembly (part 37501-GI351-RM), performed under warranty at Respondent’s expense at a recorded warranty cost of $17,483.69. (Ex. B.) Respondent’s performance of that repair under warranty is an acknowledgment that the vehicle did not conform to Respondent’s express warranty.</w:t>
      </w:r>
    </w:p>
    <w:p>
      <w:pPr>
        <w:spacing w:after="120" w:before="240" w:line="480"/>
        <w:jc w:val="center"/>
      </w:pPr>
      <w:r>
        <w:rPr>
          <w:rFonts w:ascii="Times New Roman" w:cs="Times New Roman" w:eastAsia="Times New Roman" w:hAnsi="Times New Roman"/>
          <w:b/>
          <w:bCs/>
          <w:sz w:val="24"/>
          <w:szCs w:val="24"/>
        </w:rPr>
        <w:t xml:space="preserve">THE 124-DAY OUT-OF-SERVICE PERIOD</w:t>
      </w:r>
    </w:p>
    <w:p>
      <w:pPr>
        <w:spacing w:after="0" w:before="0" w:line="480"/>
        <w:ind w:firstLine="720"/>
        <w:jc w:val="both"/>
      </w:pPr>
      <w:r>
        <w:rPr>
          <w:rFonts w:ascii="Times New Roman" w:cs="Times New Roman" w:eastAsia="Times New Roman" w:hAnsi="Times New Roman"/>
          <w:sz w:val="24"/>
          <w:szCs w:val="24"/>
        </w:rPr>
        <w:t xml:space="preserve">18. On April 3, 2025, at 10:59 a.m., Petitioner surrendered the vehicle to Hyundai of Paramus for repair under Repair Order #358530. That order bears the notation “VEH. DISABLED” on its face. (Ex. B.)</w:t>
      </w:r>
    </w:p>
    <w:p>
      <w:pPr>
        <w:spacing w:after="0" w:before="0" w:line="480"/>
        <w:ind w:firstLine="720"/>
        <w:jc w:val="both"/>
      </w:pPr>
      <w:r>
        <w:rPr>
          <w:rFonts w:ascii="Times New Roman" w:cs="Times New Roman" w:eastAsia="Times New Roman" w:hAnsi="Times New Roman"/>
          <w:sz w:val="24"/>
          <w:szCs w:val="24"/>
        </w:rPr>
        <w:t xml:space="preserve">19. The repair invoice was marked READY on August 5, 2025 at 4:18 p.m. Petitioner recovered the vehicle on August 7, 2025. (Ex. B.)</w:t>
      </w:r>
    </w:p>
    <w:p>
      <w:pPr>
        <w:spacing w:after="0" w:before="0" w:line="480"/>
        <w:ind w:firstLine="720"/>
        <w:jc w:val="both"/>
      </w:pPr>
      <w:r>
        <w:rPr>
          <w:rFonts w:ascii="Times New Roman" w:cs="Times New Roman" w:eastAsia="Times New Roman" w:hAnsi="Times New Roman"/>
          <w:sz w:val="24"/>
          <w:szCs w:val="24"/>
        </w:rPr>
        <w:t xml:space="preserve">20. The odometer reading recorded on Repair Order #358530 advanced from 8,148 miles at intake to 8,151 miles at completion — three miles across the entire period. (Ex. B.) The vehicle was not driven, not available to Petitioner, and not in Petitioner’s possession during that time.</w:t>
      </w:r>
    </w:p>
    <w:p>
      <w:pPr>
        <w:spacing w:after="0" w:before="0" w:line="480"/>
        <w:ind w:firstLine="720"/>
        <w:jc w:val="both"/>
      </w:pPr>
      <w:r>
        <w:rPr>
          <w:rFonts w:ascii="Times New Roman" w:cs="Times New Roman" w:eastAsia="Times New Roman" w:hAnsi="Times New Roman"/>
          <w:sz w:val="24"/>
          <w:szCs w:val="24"/>
        </w:rPr>
        <w:t xml:space="preserve">21. April 3, 2025 to August 5, 2025 is 124 calendar days. April 3, 2025 to Petitioner’s recovery of the vehicle on August 7, 2025 is 126 calendar days. The span from the first report of the nonconformity on February 12, 2025 to Petitioner’s recovery of the vehicle is 176 calendar days.</w:t>
      </w:r>
    </w:p>
    <w:p>
      <w:pPr>
        <w:spacing w:after="0" w:before="0" w:line="480"/>
        <w:ind w:firstLine="720"/>
        <w:jc w:val="both"/>
      </w:pPr>
      <w:r>
        <w:rPr>
          <w:rFonts w:ascii="Times New Roman" w:cs="Times New Roman" w:eastAsia="Times New Roman" w:hAnsi="Times New Roman"/>
          <w:sz w:val="24"/>
          <w:szCs w:val="24"/>
        </w:rPr>
        <w:t xml:space="preserve">22. The statutory threshold under General Business Law § 198-a (d) (2) is thirty calendar days. The 124-day period documented on Respondent’s own repair order exceeds that threshold by more than four times, and independently establishes the statutory presumption that a reasonable number of attempts to conform the vehicle has been undertaken.</w:t>
      </w:r>
    </w:p>
    <w:p>
      <w:pPr>
        <w:spacing w:after="0" w:before="0" w:line="480"/>
        <w:ind w:firstLine="720"/>
        <w:jc w:val="both"/>
      </w:pPr>
      <w:r>
        <w:rPr>
          <w:rFonts w:ascii="Times New Roman" w:cs="Times New Roman" w:eastAsia="Times New Roman" w:hAnsi="Times New Roman"/>
          <w:sz w:val="24"/>
          <w:szCs w:val="24"/>
        </w:rPr>
        <w:t xml:space="preserve">23. Petitioner’s records reflect out-of-service periods across four separate repair episodes totaling, in the aggregate, approximately 198 to 201 days. Petitioner does not rely on that larger aggregate here, and the Court need not reach it. The single 124-day period established by Respondent’s own document is sufficient.</w:t>
      </w:r>
    </w:p>
    <w:p>
      <w:pPr>
        <w:spacing w:after="120" w:before="240" w:line="480"/>
        <w:jc w:val="center"/>
      </w:pPr>
      <w:r>
        <w:rPr>
          <w:rFonts w:ascii="Times New Roman" w:cs="Times New Roman" w:eastAsia="Times New Roman" w:hAnsi="Times New Roman"/>
          <w:b/>
          <w:bCs/>
          <w:sz w:val="24"/>
          <w:szCs w:val="24"/>
        </w:rPr>
        <w:t xml:space="preserve">THE FEBRUARY 2026 RECURRENCE</w:t>
      </w:r>
    </w:p>
    <w:p>
      <w:pPr>
        <w:spacing w:after="0" w:before="0" w:line="480"/>
        <w:ind w:firstLine="720"/>
        <w:jc w:val="both"/>
      </w:pPr>
      <w:r>
        <w:rPr>
          <w:rFonts w:ascii="Times New Roman" w:cs="Times New Roman" w:eastAsia="Times New Roman" w:hAnsi="Times New Roman"/>
          <w:sz w:val="24"/>
          <w:szCs w:val="24"/>
        </w:rPr>
        <w:t xml:space="preserve">24. On February 18, 2026, at 4:21 p.m., Repair Order #370267 was opened at Hyundai of Paramus for a vehicle that had again failed to start, stranding Petitioner. The odometer read 11,230 miles at intake and 11,231 miles at completion. (Ex. D.)</w:t>
      </w:r>
    </w:p>
    <w:p>
      <w:pPr>
        <w:spacing w:after="0" w:before="0" w:line="480"/>
        <w:ind w:firstLine="720"/>
        <w:jc w:val="both"/>
      </w:pPr>
      <w:r>
        <w:rPr>
          <w:rFonts w:ascii="Times New Roman" w:cs="Times New Roman" w:eastAsia="Times New Roman" w:hAnsi="Times New Roman"/>
          <w:sz w:val="24"/>
          <w:szCs w:val="24"/>
        </w:rPr>
        <w:t xml:space="preserve">25. The technician’s contemporaneous notation on that repair order records: “VERIFIED NEEDS JUMP TO START. TOO DEAD TO COMPLETE GDS … DC800 FAIL REPLACE BATTERY BATTERY FAILED. REPLACED BATTERY NO FURTHER STARTING ISSUE.” (Ex. D.)</w:t>
      </w:r>
    </w:p>
    <w:p>
      <w:pPr>
        <w:spacing w:after="0" w:before="0" w:line="480"/>
        <w:ind w:firstLine="720"/>
        <w:jc w:val="both"/>
      </w:pPr>
      <w:r>
        <w:rPr>
          <w:rFonts w:ascii="Times New Roman" w:cs="Times New Roman" w:eastAsia="Times New Roman" w:hAnsi="Times New Roman"/>
          <w:sz w:val="24"/>
          <w:szCs w:val="24"/>
        </w:rPr>
        <w:t xml:space="preserve">26. On February 19, 2026, Petitioner advised Respondent in writing that “[t]he Paramus service center has completed their diagnostics and confirmed that the failure is a defect covered under the manufacturer warranty, and they are replacing the battery.” (Ex. I.) Respondent did not dispute that characterization. The vehicle was returned to Petitioner on February 20, 2026.</w:t>
      </w:r>
    </w:p>
    <w:p>
      <w:pPr>
        <w:spacing w:after="0" w:before="0" w:line="480"/>
        <w:ind w:firstLine="720"/>
        <w:jc w:val="both"/>
      </w:pPr>
      <w:r>
        <w:rPr>
          <w:rFonts w:ascii="Times New Roman" w:cs="Times New Roman" w:eastAsia="Times New Roman" w:hAnsi="Times New Roman"/>
          <w:sz w:val="24"/>
          <w:szCs w:val="24"/>
        </w:rPr>
        <w:t xml:space="preserve">27. On January 8, 2026, approximately six weeks earlier, a Smart Diagnosis report generated at Hyundai of Paramus recorded seven diagnostic trouble codes, including P1BAD92 and C110213 (Battery Voltage Low). (Ex. J.)</w:t>
      </w:r>
    </w:p>
    <w:p>
      <w:pPr>
        <w:spacing w:after="120" w:before="240" w:line="480"/>
        <w:jc w:val="center"/>
      </w:pPr>
      <w:r>
        <w:rPr>
          <w:rFonts w:ascii="Times New Roman" w:cs="Times New Roman" w:eastAsia="Times New Roman" w:hAnsi="Times New Roman"/>
          <w:b/>
          <w:bCs/>
          <w:sz w:val="24"/>
          <w:szCs w:val="24"/>
        </w:rPr>
        <w:t xml:space="preserve">RESPONDENT’S SETTLEMENT OFFERS AND THE CONDITIONED RELEASE</w:t>
      </w:r>
    </w:p>
    <w:p>
      <w:pPr>
        <w:spacing w:after="0" w:before="0" w:line="480"/>
        <w:ind w:firstLine="720"/>
        <w:jc w:val="both"/>
      </w:pPr>
      <w:r>
        <w:rPr>
          <w:rFonts w:ascii="Times New Roman" w:cs="Times New Roman" w:eastAsia="Times New Roman" w:hAnsi="Times New Roman"/>
          <w:sz w:val="24"/>
          <w:szCs w:val="24"/>
        </w:rPr>
        <w:t xml:space="preserve">28. By letter dated August 18, 2025, Respondent offered Petitioner two options: retain the vehicle and receive $4,000.00 in cash, or surrender the vehicle for a repurchase with restitution of $7,977.00, comprising $5,024.00 in lease payments and the $2,953.00 capitalized cost reduction. The mileage deduction was expressly marked “WAIVED.” (Ex. F.)</w:t>
      </w:r>
    </w:p>
    <w:p>
      <w:pPr>
        <w:spacing w:after="0" w:before="0" w:line="480"/>
        <w:ind w:firstLine="720"/>
        <w:jc w:val="both"/>
      </w:pPr>
      <w:r>
        <w:rPr>
          <w:rFonts w:ascii="Times New Roman" w:cs="Times New Roman" w:eastAsia="Times New Roman" w:hAnsi="Times New Roman"/>
          <w:sz w:val="24"/>
          <w:szCs w:val="24"/>
        </w:rPr>
        <w:t xml:space="preserve">29. On September 25 and 26, 2025, Petitioner accepted the $4,000.00 cash option in writing, stating: “I think given my limited time, I think the simplest solution would be the $4000 payout. Let’s get started on next steps.” Respondent transmitted a Settlement Agreement and Release for signature and notarization. (Exs. H, I.)</w:t>
      </w:r>
    </w:p>
    <w:p>
      <w:pPr>
        <w:spacing w:after="0" w:before="0" w:line="480"/>
        <w:ind w:firstLine="720"/>
        <w:jc w:val="both"/>
      </w:pPr>
      <w:r>
        <w:rPr>
          <w:rFonts w:ascii="Times New Roman" w:cs="Times New Roman" w:eastAsia="Times New Roman" w:hAnsi="Times New Roman"/>
          <w:sz w:val="24"/>
          <w:szCs w:val="24"/>
        </w:rPr>
        <w:t xml:space="preserve">30. On September 30, 2025 — before Petitioner was represented by counsel — Petitioner requested three targeted modifications to the release: that it be limited to the specific battery defect rather than all future claims; that the confidentiality provision be narrowed; and that the waiver of California Civil Code § 1542 be removed as inapplicable in New York. Respondent declined to alter any term, and the settlement failed. (Ex. I.)</w:t>
      </w:r>
    </w:p>
    <w:p>
      <w:pPr>
        <w:spacing w:after="0" w:before="0" w:line="480"/>
        <w:ind w:firstLine="720"/>
        <w:jc w:val="both"/>
      </w:pPr>
      <w:r>
        <w:rPr>
          <w:rFonts w:ascii="Times New Roman" w:cs="Times New Roman" w:eastAsia="Times New Roman" w:hAnsi="Times New Roman"/>
          <w:sz w:val="24"/>
          <w:szCs w:val="24"/>
        </w:rPr>
        <w:t xml:space="preserve">31. The release in the record conditions payment on a waiver of unknown claims invoking California Civil Code § 1542 “as well as any similar law of any state or territory of the United States,” together with confidentiality and indemnity provisions. (Ex. H.) This is a New York lease, of a New York-registered vehicle, by a New York consumer, under a New York statute, arbitrated in a program administered by the New York Attorney General. General Business Law § 198-a (n) renders void any waiver of a consumer’s rights under that section.</w:t>
      </w:r>
    </w:p>
    <w:p>
      <w:pPr>
        <w:spacing w:after="0" w:before="0" w:line="480"/>
        <w:ind w:firstLine="720"/>
        <w:jc w:val="both"/>
      </w:pPr>
      <w:r>
        <w:rPr>
          <w:rFonts w:ascii="Times New Roman" w:cs="Times New Roman" w:eastAsia="Times New Roman" w:hAnsi="Times New Roman"/>
          <w:sz w:val="24"/>
          <w:szCs w:val="24"/>
        </w:rPr>
        <w:t xml:space="preserve">32. By letter dated January 29, 2026, Respondent offered either $5,000 in cash with the vehicle retained or a repurchase with restitution of $5,388.51, computed by subtracting a mileage deduction of $4,326.49 from the sums paid. Respondent calculated that deduction as $53,360.77 × (8,148 − 40) ÷ 100,000, using the odometer reading from Repair Order #358530 rather than the 7,026-mile reading at the first report of the nonconformity. (Ex. G.)</w:t>
      </w:r>
    </w:p>
    <w:p>
      <w:pPr>
        <w:spacing w:after="0" w:before="0" w:line="480"/>
        <w:ind w:firstLine="720"/>
        <w:jc w:val="both"/>
      </w:pPr>
      <w:r>
        <w:rPr>
          <w:rFonts w:ascii="Times New Roman" w:cs="Times New Roman" w:eastAsia="Times New Roman" w:hAnsi="Times New Roman"/>
          <w:sz w:val="24"/>
          <w:szCs w:val="24"/>
        </w:rPr>
        <w:t xml:space="preserve">33. Respondent stated on February 6, 2026 that the January 2026 offer was “valid for 60 days.” The offer lapsed by its own terms on or about March 30, 2026. On May 11, 2026, Petitioner’s then-counsel conveyed that Respondent’s position had been reduced to $2,500. No writing of Respondent’s own memorializes that figure. (Exs. I, L.) Petitioner declined it, his counsel withdrew on May 12, 2026, and Petitioner filed his arbitration request the same day.</w:t>
      </w:r>
    </w:p>
    <w:p>
      <w:pPr>
        <w:spacing w:after="0" w:before="0" w:line="480"/>
        <w:ind w:firstLine="720"/>
        <w:jc w:val="both"/>
      </w:pPr>
      <w:r>
        <w:rPr>
          <w:rFonts w:ascii="Times New Roman" w:cs="Times New Roman" w:eastAsia="Times New Roman" w:hAnsi="Times New Roman"/>
          <w:sz w:val="24"/>
          <w:szCs w:val="24"/>
        </w:rPr>
        <w:t xml:space="preserve">34. Petitioner incurred documented incidental expenses of $1,793.43 for rental vehicles, rideshare, transit and towing, net of reimbursement, recoverable under General Business Law § 198-a (c) (1). (Ex. J.)</w:t>
      </w:r>
    </w:p>
    <w:p>
      <w:pPr>
        <w:spacing w:after="120" w:before="240" w:line="480"/>
        <w:jc w:val="center"/>
      </w:pPr>
      <w:r>
        <w:rPr>
          <w:rFonts w:ascii="Times New Roman" w:cs="Times New Roman" w:eastAsia="Times New Roman" w:hAnsi="Times New Roman"/>
          <w:b/>
          <w:bCs/>
          <w:sz w:val="24"/>
          <w:szCs w:val="24"/>
        </w:rPr>
        <w:t xml:space="preserve">THE ARBITRATION AND THE AWARD</w:t>
      </w:r>
    </w:p>
    <w:p>
      <w:pPr>
        <w:spacing w:after="0" w:before="0" w:line="480"/>
        <w:ind w:firstLine="720"/>
        <w:jc w:val="both"/>
      </w:pPr>
      <w:r>
        <w:rPr>
          <w:rFonts w:ascii="Times New Roman" w:cs="Times New Roman" w:eastAsia="Times New Roman" w:hAnsi="Times New Roman"/>
          <w:sz w:val="24"/>
          <w:szCs w:val="24"/>
        </w:rPr>
        <w:t xml:space="preserve">35. Petitioner elected arbitration under General Business Law § 198-a (k) and 13 NYCRR Part 300. Respondent was required to submit to that arbitration; the proceeding was therefore compulsory as to Respondent. The matter was filed on May 12, 2026 and assigned Attorney General’s Case No. NC-1-1249605441.</w:t>
      </w:r>
    </w:p>
    <w:p>
      <w:pPr>
        <w:spacing w:after="0" w:before="0" w:line="480"/>
        <w:ind w:firstLine="720"/>
        <w:jc w:val="both"/>
      </w:pPr>
      <w:r>
        <w:rPr>
          <w:rFonts w:ascii="Times New Roman" w:cs="Times New Roman" w:eastAsia="Times New Roman" w:hAnsi="Times New Roman"/>
          <w:sz w:val="24"/>
          <w:szCs w:val="24"/>
        </w:rPr>
        <w:t xml:space="preserve">36. An oral hearing was held and closed on June 9, 2026 before Arbitrator Maneesha Sharma. Both parties appeared; Respondent appeared by counsel. Petitioner appeared without counsel and submitted documentary exhibits. (Ex. A.)</w:t>
      </w:r>
    </w:p>
    <w:p>
      <w:pPr>
        <w:spacing w:after="0" w:before="0" w:line="480"/>
        <w:ind w:firstLine="720"/>
        <w:jc w:val="both"/>
      </w:pPr>
      <w:r>
        <w:rPr>
          <w:rFonts w:ascii="Times New Roman" w:cs="Times New Roman" w:eastAsia="Times New Roman" w:hAnsi="Times New Roman"/>
          <w:sz w:val="24"/>
          <w:szCs w:val="24"/>
        </w:rPr>
        <w:t xml:space="preserve">37. By award dated June 11, 2026, the arbitrator ruled “FOR THE MANUFACTURER” and found that Petitioner “does not qualify for a refund or a replacement vehicle under General Business Law § 198-a.” (Ex. A.)</w:t>
      </w:r>
    </w:p>
    <w:p>
      <w:pPr>
        <w:spacing w:after="0" w:before="0" w:line="480"/>
        <w:ind w:firstLine="720"/>
        <w:jc w:val="both"/>
      </w:pPr>
      <w:r>
        <w:rPr>
          <w:rFonts w:ascii="Times New Roman" w:cs="Times New Roman" w:eastAsia="Times New Roman" w:hAnsi="Times New Roman"/>
          <w:sz w:val="24"/>
          <w:szCs w:val="24"/>
        </w:rPr>
        <w:t xml:space="preserve">38. Four issues were identified as in dispute: whether there were four or more repair attempts for the same problem within 18,000 miles or 24 months; whether the problem continued to exist at the end of the fourth repair attempt; whether the vehicle was out of service due to repairs for thirty or more days within 18,000 miles or 24 months; and whether the problem substantially impaired the value of the vehicle to the consumer. The arbitrator found against Petitioner on each. (Ex. A.)</w:t>
      </w:r>
    </w:p>
    <w:p>
      <w:pPr>
        <w:spacing w:after="0" w:before="0" w:line="480"/>
        <w:ind w:firstLine="720"/>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sz w:val="24"/>
          <w:szCs w:val="24"/>
        </w:rPr>
        <w:t xml:space="preserve">The award’s summary of Petitioner’s case recites that Petitioner “alleges the vehicle is a lemon as it has been out of service for over 200 days and he did not have access to a loaner the whole (part of the time) and has approx. 1,800 in expenses associated w having to take cabs etc to work he is a physician”; that he “states this is a manufacturing defect and the total days out of service qualify the vehicle as a lemon”; and that he “reviewed his experience being stranded in Feb 2026 and the car did not start.” (Ex. A.)</w:t>
      </w:r>
    </w:p>
    <w:p>
      <w:pPr>
        <w:spacing w:after="0" w:before="0" w:line="480"/>
        <w:ind w:firstLine="720"/>
        <w:jc w:val="both"/>
      </w:pPr>
      <w:r>
        <w:rPr>
          <w:rFonts w:ascii="Times New Roman" w:cs="Times New Roman" w:eastAsia="Times New Roman" w:hAnsi="Times New Roman"/>
          <w:sz w:val="24"/>
          <w:szCs w:val="24"/>
        </w:rPr>
        <w:t xml:space="preserve">40. The final sentence of that same paragraph reads: “Based on testimony that the vehicle is currently operating and no allegation that the use and value is impaired, the consumer has not met his burden of proof.” (Ex. A.)</w:t>
      </w:r>
    </w:p>
    <w:p>
      <w:pPr>
        <w:spacing w:after="0" w:before="0" w:line="480"/>
        <w:ind w:firstLine="720"/>
        <w:jc w:val="both"/>
      </w:pPr>
      <w:r>
        <w:rPr>
          <w:rFonts w:ascii="Times New Roman" w:cs="Times New Roman" w:eastAsia="Times New Roman" w:hAnsi="Times New Roman"/>
          <w:sz w:val="24"/>
          <w:szCs w:val="24"/>
        </w:rPr>
        <w:t xml:space="preserve">41. The award’s summary of Respondent’s position credits Respondent’s explanation that the repair “needed back order parts which is a challenge in whole industry” and that a “loaner [was] provided no charge”; recites that “electric vehicles batteries need to be replaced no guarantee by any manufacturer of a defect free car”; and concludes, without analysis, “The manufacturer’s argument is compelling.” (Ex. A.)</w:t>
      </w:r>
    </w:p>
    <w:p>
      <w:pPr>
        <w:spacing w:after="0" w:before="0" w:line="480"/>
        <w:ind w:firstLine="720"/>
        <w:jc w:val="both"/>
      </w:pPr>
      <w:r>
        <w:rPr>
          <w:rFonts w:ascii="Times New Roman" w:cs="Times New Roman" w:eastAsia="Times New Roman" w:hAnsi="Times New Roman"/>
          <w:sz w:val="24"/>
          <w:szCs w:val="24"/>
        </w:rPr>
        <w:t xml:space="preserve">42. The award also recites that Petitioner declined Respondent’s buyback offers “not due to the $ amount but was concerned about a clause related to the state of CA that he did not think applied,” and that Petitioner has extended his lease on a month-to-month basis “as he can have it available for inspection if needed.” (Ex. A.)</w:t>
      </w:r>
    </w:p>
    <w:p>
      <w:pPr>
        <w:spacing w:after="0" w:before="0" w:line="480"/>
        <w:ind w:firstLine="720"/>
        <w:jc w:val="both"/>
      </w:pPr>
      <w:r>
        <w:rPr>
          <w:rFonts w:ascii="Times New Roman" w:cs="Times New Roman" w:eastAsia="Times New Roman" w:hAnsi="Times New Roman"/>
          <w:sz w:val="24"/>
          <w:szCs w:val="24"/>
        </w:rPr>
        <w:t xml:space="preserve">43. The award misidentifies the vehicle as a “new 2024 WAGON ION”; misidentifies the selling dealer as “Hyundai Brooklyn” when the vehicle was leased from Koeppel Hyundai in Long Island City; mistypes the controlling repair order as “RO 258530” rather than #358530; and attributes the February 18, 2026 no-start event to “RO 363888 mileage 8662,” which is a separate visit of August 27–30, 2025 at which no work was performed. Respondent’s own records place the February 2026 event under Repair Order #370267 at 11,230 miles. (Exs. A, B, D.)</w:t>
      </w:r>
    </w:p>
    <w:p>
      <w:pPr>
        <w:spacing w:after="120" w:before="240" w:line="480"/>
        <w:jc w:val="center"/>
      </w:pPr>
      <w:r>
        <w:rPr>
          <w:rFonts w:ascii="Times New Roman" w:cs="Times New Roman" w:eastAsia="Times New Roman" w:hAnsi="Times New Roman"/>
          <w:b/>
          <w:bCs/>
          <w:sz w:val="24"/>
          <w:szCs w:val="24"/>
        </w:rPr>
        <w:t xml:space="preserve">GROUNDS FOR VACATUR</w:t>
      </w:r>
    </w:p>
    <w:p>
      <w:pPr>
        <w:spacing w:after="60" w:before="200" w:line="480"/>
        <w:jc w:val="left"/>
      </w:pPr>
      <w:r>
        <w:rPr>
          <w:rFonts w:ascii="Times New Roman" w:cs="Times New Roman" w:eastAsia="Times New Roman" w:hAnsi="Times New Roman"/>
          <w:b/>
          <w:bCs/>
          <w:sz w:val="24"/>
          <w:szCs w:val="24"/>
        </w:rPr>
        <w:t xml:space="preserve">FIRST GROUND — The Award’s Dispositive Finding Is Refuted by the Award’s Own Recitation of the Record</w:t>
      </w:r>
    </w:p>
    <w:p>
      <w:pPr>
        <w:spacing w:after="0" w:before="0" w:line="480"/>
        <w:ind w:firstLine="720"/>
        <w:jc w:val="both"/>
      </w:pPr>
      <w:r>
        <w:rPr>
          <w:rFonts w:ascii="Times New Roman" w:cs="Times New Roman" w:eastAsia="Times New Roman" w:hAnsi="Times New Roman"/>
          <w:sz w:val="24"/>
          <w:szCs w:val="24"/>
        </w:rPr>
        <w:t xml:space="preserve">44. Petitioner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45. The award denies relief on the stated ground that there was “no allegation that the use and value is impaired.” That assertion is contradicted by the arbitrator’s own summary of Petitioner’s case, set out in the very same paragraph, which recites Petitioner’s allegations of prolonged unavailability, out-of-pocket transportation expense, and being stranded when the vehicle failed to start.</w:t>
      </w:r>
    </w:p>
    <w:p>
      <w:pPr>
        <w:spacing w:after="0" w:before="0" w:line="480"/>
        <w:ind w:firstLine="720"/>
        <w:jc w:val="both"/>
      </w:pPr>
      <w:r>
        <w:rPr>
          <w:rFonts w:ascii="Times New Roman" w:cs="Times New Roman" w:eastAsia="Times New Roman" w:hAnsi="Times New Roman"/>
          <w:sz w:val="24"/>
          <w:szCs w:val="24"/>
        </w:rPr>
        <w:t xml:space="preserve">46. A finding that a party made “no allegation” is not a credibility determination or a weighing of evidence. It is an assertion about what the record contains, and it is objectively verifiable. The award establishes its own falsity within its four corners.</w:t>
      </w:r>
    </w:p>
    <w:p>
      <w:pPr>
        <w:spacing w:after="0" w:before="0" w:line="480"/>
        <w:ind w:firstLine="720"/>
        <w:jc w:val="both"/>
      </w:pPr>
      <w:r>
        <w:rPr>
          <w:rFonts w:ascii="Times New Roman" w:cs="Times New Roman" w:eastAsia="Times New Roman" w:hAnsi="Times New Roman"/>
          <w:sz w:val="24"/>
          <w:szCs w:val="24"/>
        </w:rPr>
        <w:t xml:space="preserve">47. An award premised on a demonstrably false characterization of the record is not supported by adequate evidence in the record, is arbitrary, and lacks a rational basis. In a compulsory arbitration, such an award must be vacated under CPLR 7511 (b) (1) (iii).</w:t>
      </w:r>
    </w:p>
    <w:p>
      <w:pPr>
        <w:spacing w:after="0" w:before="0" w:line="480"/>
        <w:ind w:firstLine="720"/>
        <w:jc w:val="both"/>
      </w:pPr>
      <w:r>
        <w:rPr>
          <w:rFonts w:ascii="Times New Roman" w:cs="Times New Roman" w:eastAsia="Times New Roman" w:hAnsi="Times New Roman"/>
          <w:sz w:val="24"/>
          <w:szCs w:val="24"/>
        </w:rPr>
        <w:t xml:space="preserve">48. The error is not harmless. The quoted sentence is the only stated reasoning in the award; the balance of the determination consists of checked boxes.</w:t>
      </w:r>
    </w:p>
    <w:p>
      <w:pPr>
        <w:spacing w:after="60" w:before="200" w:line="480"/>
        <w:jc w:val="left"/>
      </w:pPr>
      <w:r>
        <w:rPr>
          <w:rFonts w:ascii="Times New Roman" w:cs="Times New Roman" w:eastAsia="Times New Roman" w:hAnsi="Times New Roman"/>
          <w:b/>
          <w:bCs/>
          <w:sz w:val="24"/>
          <w:szCs w:val="24"/>
        </w:rPr>
        <w:t xml:space="preserve">SECOND GROUND — The Award Applies a Condition-at-Hearing Standard That Has No Basis in the Statute</w:t>
      </w:r>
    </w:p>
    <w:p>
      <w:pPr>
        <w:spacing w:after="0" w:before="0" w:line="480"/>
        <w:ind w:firstLine="720"/>
        <w:jc w:val="both"/>
      </w:pPr>
      <w:r>
        <w:rPr>
          <w:rFonts w:ascii="Times New Roman" w:cs="Times New Roman" w:eastAsia="Times New Roman" w:hAnsi="Times New Roman"/>
          <w:sz w:val="24"/>
          <w:szCs w:val="24"/>
        </w:rPr>
        <w:t xml:space="preserve">49. Petitioner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50. The award rests on “testimony that the vehicle is currently operating.” The Court of Appeals rejected that standard in Matter of DaimlerChrysler Corp. v Spitzer, 7 NY3d 653 (2006), holding that the “continues to exist” language of General Business Law § 198-a (d) (1) asks only whether the problem persists after the fourth repair attempt, not whether it persists to the date of the hearing.</w:t>
      </w:r>
    </w:p>
    <w:p>
      <w:pPr>
        <w:spacing w:after="0" w:before="0" w:line="480"/>
        <w:ind w:firstLine="720"/>
        <w:jc w:val="both"/>
      </w:pPr>
      <w:r>
        <w:rPr>
          <w:rFonts w:ascii="Times New Roman" w:cs="Times New Roman" w:eastAsia="Times New Roman" w:hAnsi="Times New Roman"/>
          <w:sz w:val="24"/>
          <w:szCs w:val="24"/>
        </w:rPr>
        <w:t xml:space="preserve">51. The thirty-day prong of General Business Law § 198-a (d) (2), on which Petitioner’s claim rests, contains no “continues to exist” element at all. The statutory trigger is historical: once the vehicle has been out of service by reason of repair for thirty cumulative days within the covered period, the presumption attaches. Nothing in the statute permits it to detach because the manufacturer later effects a repair.</w:t>
      </w:r>
    </w:p>
    <w:p>
      <w:pPr>
        <w:spacing w:after="0" w:before="0" w:line="480"/>
        <w:ind w:firstLine="720"/>
        <w:jc w:val="both"/>
      </w:pPr>
      <w:r>
        <w:rPr>
          <w:rFonts w:ascii="Times New Roman" w:cs="Times New Roman" w:eastAsia="Times New Roman" w:hAnsi="Times New Roman"/>
          <w:sz w:val="24"/>
          <w:szCs w:val="24"/>
        </w:rPr>
        <w:t xml:space="preserve">52. Under the contrary rule the arbitrator applied, a manufacturer could defeat any thirty-day claim by repairing the vehicle before the hearing, and the thirty-day prong would be a nullity.</w:t>
      </w:r>
    </w:p>
    <w:p>
      <w:pPr>
        <w:spacing w:after="0" w:before="0" w:line="480"/>
        <w:ind w:firstLine="720"/>
        <w:jc w:val="both"/>
      </w:pPr>
      <w:r>
        <w:rPr>
          <w:rFonts w:ascii="Times New Roman" w:cs="Times New Roman" w:eastAsia="Times New Roman" w:hAnsi="Times New Roman"/>
          <w:sz w:val="24"/>
          <w:szCs w:val="24"/>
        </w:rPr>
        <w:t xml:space="preserve">53. By substituting a standard the statute does not contain for the standard it does, the arbitrator failed to abide by the statutory standards and exceeded the legislative grant of authority, and thereby exceeded her power within the meaning of CPLR 7511 (b) (1) (iii).</w:t>
      </w:r>
    </w:p>
    <w:p>
      <w:pPr>
        <w:spacing w:after="60" w:before="200" w:line="480"/>
        <w:jc w:val="left"/>
      </w:pPr>
      <w:r>
        <w:rPr>
          <w:rFonts w:ascii="Times New Roman" w:cs="Times New Roman" w:eastAsia="Times New Roman" w:hAnsi="Times New Roman"/>
          <w:b/>
          <w:bCs/>
          <w:sz w:val="24"/>
          <w:szCs w:val="24"/>
        </w:rPr>
        <w:t xml:space="preserve">THIRD GROUND — The Finding on the Thirty-Day Prong Is Contradicted by Respondent’s Own Records and Has No Rational Basis</w:t>
      </w:r>
    </w:p>
    <w:p>
      <w:pPr>
        <w:spacing w:after="0" w:before="0" w:line="480"/>
        <w:ind w:firstLine="720"/>
        <w:jc w:val="both"/>
      </w:pPr>
      <w:r>
        <w:rPr>
          <w:rFonts w:ascii="Times New Roman" w:cs="Times New Roman" w:eastAsia="Times New Roman" w:hAnsi="Times New Roman"/>
          <w:sz w:val="24"/>
          <w:szCs w:val="24"/>
        </w:rPr>
        <w:t xml:space="preserve">54. Petitioner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55. The two prongs of General Business Law § 198-a (d) are disjunctive alternatives. A consumer who satisfies either is entitled to the presumption, and a finding against the consumer on the four-attempt prong has no bearing on the thirty-day prong.</w:t>
      </w:r>
    </w:p>
    <w:p>
      <w:pPr>
        <w:spacing w:after="0" w:before="0" w:line="480"/>
        <w:ind w:firstLine="720"/>
        <w:jc w:val="both"/>
      </w:pPr>
      <w:r>
        <w:rPr>
          <w:rFonts w:ascii="Times New Roman" w:cs="Times New Roman" w:eastAsia="Times New Roman" w:hAnsi="Times New Roman"/>
          <w:sz w:val="24"/>
          <w:szCs w:val="24"/>
        </w:rPr>
        <w:t xml:space="preserve">56. The only finding that could reach Petitioner’s claim is the finding that the vehicle was not out of service due to repairs for thirty or more days. That finding is contradicted by Repair Order #358530 — Respondent’s own document, prepared by Respondent’s own authorized dealer, in the ordinary course of Respondent’s business — which records surrender on April 3, 2025, the notation “VEH. DISABLED,” completion on August 5, 2025, and an odometer advance of three miles.</w:t>
      </w:r>
    </w:p>
    <w:p>
      <w:pPr>
        <w:spacing w:after="0" w:before="0" w:line="480"/>
        <w:ind w:firstLine="720"/>
        <w:jc w:val="both"/>
      </w:pPr>
      <w:r>
        <w:rPr>
          <w:rFonts w:ascii="Times New Roman" w:cs="Times New Roman" w:eastAsia="Times New Roman" w:hAnsi="Times New Roman"/>
          <w:sz w:val="24"/>
          <w:szCs w:val="24"/>
        </w:rPr>
        <w:t xml:space="preserve">57. No evidence in the record contradicts those facts, because the evidence is Respondent’s own. A finding that the vehicle was not out of service for thirty days, made on a record in which the manufacturer’s own paperwork establishes 124 days, is unsupported by adequate record evidence and is irrational.</w:t>
      </w:r>
    </w:p>
    <w:p>
      <w:pPr>
        <w:spacing w:after="60" w:before="200" w:line="480"/>
        <w:jc w:val="left"/>
      </w:pPr>
      <w:r>
        <w:rPr>
          <w:rFonts w:ascii="Times New Roman" w:cs="Times New Roman" w:eastAsia="Times New Roman" w:hAnsi="Times New Roman"/>
          <w:b/>
          <w:bCs/>
          <w:sz w:val="24"/>
          <w:szCs w:val="24"/>
        </w:rPr>
        <w:t xml:space="preserve">FOURTH GROUND — The Award Excuses the Delay on Grounds the Legislature Did Not Make Available</w:t>
      </w:r>
    </w:p>
    <w:p>
      <w:pPr>
        <w:spacing w:after="0" w:before="0" w:line="480"/>
        <w:ind w:firstLine="720"/>
        <w:jc w:val="both"/>
      </w:pPr>
      <w:r>
        <w:rPr>
          <w:rFonts w:ascii="Times New Roman" w:cs="Times New Roman" w:eastAsia="Times New Roman" w:hAnsi="Times New Roman"/>
          <w:sz w:val="24"/>
          <w:szCs w:val="24"/>
        </w:rPr>
        <w:t xml:space="preserve">58. Petitioner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59. The arbitrator credited Respondent’s explanation that the repair “needed back order parts which is a challenge in whole industry” and that a “loaner [was] provided no charge.”</w:t>
      </w:r>
    </w:p>
    <w:p>
      <w:pPr>
        <w:spacing w:after="0" w:before="0" w:line="480"/>
        <w:ind w:firstLine="720"/>
        <w:jc w:val="both"/>
      </w:pPr>
      <w:r>
        <w:rPr>
          <w:rFonts w:ascii="Times New Roman" w:cs="Times New Roman" w:eastAsia="Times New Roman" w:hAnsi="Times New Roman"/>
          <w:sz w:val="24"/>
          <w:szCs w:val="24"/>
        </w:rPr>
        <w:t xml:space="preserve">60. General Business Law § 198-a (e) enumerates the circumstances that extend the thirty-day out-of-service period: war, invasion, strike, fire, flood or other natural disaster. A parts backorder is not among them. Under the maxim expressio unius est exclusio alterius, the enumeration is exclusive, and the Legislature allocated the risk of parts unavailability to the manufacturer, which controls its supply chain.</w:t>
      </w:r>
    </w:p>
    <w:p>
      <w:pPr>
        <w:spacing w:after="0" w:before="0" w:line="480"/>
        <w:ind w:firstLine="720"/>
        <w:jc w:val="both"/>
      </w:pPr>
      <w:r>
        <w:rPr>
          <w:rFonts w:ascii="Times New Roman" w:cs="Times New Roman" w:eastAsia="Times New Roman" w:hAnsi="Times New Roman"/>
          <w:sz w:val="24"/>
          <w:szCs w:val="24"/>
        </w:rPr>
        <w:t xml:space="preserve">61. The provision of a loaner vehicle does not toll the statutory count. The statute counts days the subject vehicle is out of service by reason of repair; it does not count days the consumer is without any transportation.</w:t>
      </w:r>
    </w:p>
    <w:p>
      <w:pPr>
        <w:spacing w:after="0" w:before="0" w:line="480"/>
        <w:ind w:firstLine="720"/>
        <w:jc w:val="both"/>
      </w:pPr>
      <w:r>
        <w:rPr>
          <w:rFonts w:ascii="Times New Roman" w:cs="Times New Roman" w:eastAsia="Times New Roman" w:hAnsi="Times New Roman"/>
          <w:sz w:val="24"/>
          <w:szCs w:val="24"/>
        </w:rPr>
        <w:t xml:space="preserve">62. By excusing a 124-day out-of-service period on a ground the statute does not recognize, the arbitrator exceeded her power under CPLR 7511 (b) (1) (iii).</w:t>
      </w:r>
    </w:p>
    <w:p>
      <w:pPr>
        <w:spacing w:after="60" w:before="200" w:line="480"/>
        <w:jc w:val="left"/>
      </w:pPr>
      <w:r>
        <w:rPr>
          <w:rFonts w:ascii="Times New Roman" w:cs="Times New Roman" w:eastAsia="Times New Roman" w:hAnsi="Times New Roman"/>
          <w:b/>
          <w:bCs/>
          <w:sz w:val="24"/>
          <w:szCs w:val="24"/>
        </w:rPr>
        <w:t xml:space="preserve">FIFTH GROUND — The Award’s Cumulative Misstatements Establish the Absence of Reasoned Decision-Making Required by Due Process</w:t>
      </w:r>
    </w:p>
    <w:p>
      <w:pPr>
        <w:spacing w:after="0" w:before="0" w:line="480"/>
        <w:ind w:firstLine="720"/>
        <w:jc w:val="both"/>
      </w:pPr>
      <w:r>
        <w:rPr>
          <w:rFonts w:ascii="Times New Roman" w:cs="Times New Roman" w:eastAsia="Times New Roman" w:hAnsi="Times New Roman"/>
          <w:sz w:val="24"/>
          <w:szCs w:val="24"/>
        </w:rPr>
        <w:t xml:space="preserve">63. Petitioner repeats and realleges each of the foregoing paragraphs as if fully set forth herein.</w:t>
      </w:r>
    </w:p>
    <w:p>
      <w:pPr>
        <w:spacing w:after="0" w:before="0" w:line="480"/>
        <w:ind w:firstLine="720"/>
        <w:jc w:val="both"/>
      </w:pPr>
      <w:r>
        <w:rPr>
          <w:rFonts w:ascii="Times New Roman" w:cs="Times New Roman" w:eastAsia="Times New Roman" w:hAnsi="Times New Roman"/>
          <w:sz w:val="24"/>
          <w:szCs w:val="24"/>
        </w:rPr>
        <w:t xml:space="preserve">64. The award misidentifies the vehicle, misidentifies the selling dealer, mistypes the controlling repair order number, assigns the February 2026 no-start event to a repair order and an odometer reading belonging to a different visit six months earlier at which no work was performed, and denies that allegations were made which the award itself recites.</w:t>
      </w:r>
    </w:p>
    <w:p>
      <w:pPr>
        <w:spacing w:after="0" w:before="0" w:line="480"/>
        <w:ind w:firstLine="720"/>
        <w:jc w:val="both"/>
      </w:pPr>
      <w:r>
        <w:rPr>
          <w:rFonts w:ascii="Times New Roman" w:cs="Times New Roman" w:eastAsia="Times New Roman" w:hAnsi="Times New Roman"/>
          <w:sz w:val="24"/>
          <w:szCs w:val="24"/>
        </w:rPr>
        <w:t xml:space="preserve">65. The award’s entire treatment of the merits of Respondent’s position consists of five words: “The manufacturer’s argument is compelling.” No reasoning is offered, no evidence is cited, and no statutory provision is applied.</w:t>
      </w:r>
    </w:p>
    <w:p>
      <w:pPr>
        <w:spacing w:after="0" w:before="0" w:line="480"/>
        <w:ind w:firstLine="720"/>
        <w:jc w:val="both"/>
      </w:pPr>
      <w:r>
        <w:rPr>
          <w:rFonts w:ascii="Times New Roman" w:cs="Times New Roman" w:eastAsia="Times New Roman" w:hAnsi="Times New Roman"/>
          <w:sz w:val="24"/>
          <w:szCs w:val="24"/>
        </w:rPr>
        <w:t xml:space="preserve">66. Due process in a compulsory arbitration requires more. Taken together, these features show that the arbitrator did not engage with the record she was charged with deciding, and that the award does not reflect the specific statutory and regulatory procedure whose observance is the safeguard justifying compulsory arbitration.</w:t>
      </w:r>
    </w:p>
    <w:p>
      <w:pPr>
        <w:spacing w:after="120" w:before="240" w:line="480"/>
        <w:jc w:val="center"/>
      </w:pPr>
      <w:r>
        <w:rPr>
          <w:rFonts w:ascii="Times New Roman" w:cs="Times New Roman" w:eastAsia="Times New Roman" w:hAnsi="Times New Roman"/>
          <w:b/>
          <w:bCs/>
          <w:sz w:val="24"/>
          <w:szCs w:val="24"/>
        </w:rPr>
        <w:t xml:space="preserve">RELIEF ON THE MERITS</w:t>
      </w:r>
    </w:p>
    <w:p>
      <w:pPr>
        <w:spacing w:after="0" w:before="0" w:line="480"/>
        <w:ind w:firstLine="720"/>
        <w:jc w:val="both"/>
      </w:pPr>
      <w:r>
        <w:rPr>
          <w:rFonts w:ascii="Times New Roman" w:cs="Times New Roman" w:eastAsia="Times New Roman" w:hAnsi="Times New Roman"/>
          <w:sz w:val="24"/>
          <w:szCs w:val="24"/>
        </w:rPr>
        <w:t xml:space="preserve">67. General Business Law § 198-a (c) (1) provides that where the manufacturer fails to conform the vehicle to its express warranties after a reasonable number of attempts, it shall, at the consumer’s option, replace the vehicle or accept its return and refund the consumer. For a leased vehicle the refund runs to the lessee and comprises all sums paid — capitalized cost reduction, monthly payments, fees and charges — together with incidental costs, less only such allowance for the consumer’s use as the statute permits.</w:t>
      </w:r>
    </w:p>
    <w:p>
      <w:pPr>
        <w:spacing w:after="0" w:before="0" w:line="480"/>
        <w:ind w:firstLine="720"/>
        <w:jc w:val="both"/>
      </w:pPr>
      <w:r>
        <w:rPr>
          <w:rFonts w:ascii="Times New Roman" w:cs="Times New Roman" w:eastAsia="Times New Roman" w:hAnsi="Times New Roman"/>
          <w:sz w:val="24"/>
          <w:szCs w:val="24"/>
        </w:rPr>
        <w:t xml:space="preserve">68. Any allowance for use must be measured from 7,026 miles — the odometer reading on February 12, 2025, when the nonconformity was first reported under Repair Order #356398 — and not from the 8,148-mile figure Respondent used. [DRAFTING NOTE — RESOLVE BEFORE FILING: if the official text of General Business Law § 198-a (c) (1) permits an allowance only for mileage in excess of the first twelve thousand miles of operation, the allowance at 7,026 miles is $0.00 and Respondent’s $4,326.49 deduction was improper in its entirety, not merely overstated. Confirm against the official statute and conform this paragraph, the Memorandum of Law, and the WHEREFORE clause.]</w:t>
      </w:r>
    </w:p>
    <w:p>
      <w:pPr>
        <w:spacing w:after="0" w:before="0" w:line="480"/>
        <w:ind w:firstLine="720"/>
        <w:jc w:val="both"/>
      </w:pPr>
      <w:r>
        <w:rPr>
          <w:rFonts w:ascii="Times New Roman" w:cs="Times New Roman" w:eastAsia="Times New Roman" w:hAnsi="Times New Roman"/>
          <w:sz w:val="24"/>
          <w:szCs w:val="24"/>
        </w:rPr>
        <w:t xml:space="preserve">69. Petitioner is additionally entitled to documented incidental expenses of $1,793.43. (Ex. J.)</w:t>
      </w:r>
    </w:p>
    <w:p>
      <w:pPr>
        <w:spacing w:after="0" w:before="0" w:line="480"/>
        <w:ind w:firstLine="720"/>
        <w:jc w:val="both"/>
      </w:pPr>
      <w:r>
        <w:rPr>
          <w:rFonts w:ascii="Times New Roman" w:cs="Times New Roman" w:eastAsia="Times New Roman" w:hAnsi="Times New Roman"/>
          <w:sz w:val="24"/>
          <w:szCs w:val="24"/>
        </w:rPr>
        <w:t xml:space="preserve">70. Petitioner remains the lessee of the vehicle under a month-to-month extension recorded in the award itself, and the vehicle remains available for inspection. No question of mootness arises.</w:t>
      </w:r>
    </w:p>
    <w:p>
      <w:pPr>
        <w:spacing w:after="0" w:before="0" w:line="480"/>
        <w:ind w:firstLine="720"/>
        <w:jc w:val="both"/>
      </w:pPr>
      <w:r>
        <w:rPr>
          <w:rFonts w:ascii="Times New Roman" w:cs="Times New Roman" w:eastAsia="Times New Roman" w:hAnsi="Times New Roman"/>
          <w:sz w:val="24"/>
          <w:szCs w:val="24"/>
        </w:rPr>
        <w:t xml:space="preserve">71. General Business Law § 198-a (l) permits an award of reasonable attorney’s fees to a prevailing consumer. Petitioner is presently self-represented and seeks no fees for his own time; he reserves the right to seek fees under that subsection should he retain counsel in this proceeding.</w:t>
      </w:r>
    </w:p>
    <w:p>
      <w:pPr>
        <w:spacing w:after="120" w:before="240" w:line="480"/>
        <w:jc w:val="center"/>
      </w:pPr>
      <w:r>
        <w:rPr>
          <w:rFonts w:ascii="Times New Roman" w:cs="Times New Roman" w:eastAsia="Times New Roman" w:hAnsi="Times New Roman"/>
          <w:b/>
          <w:bCs/>
          <w:sz w:val="24"/>
          <w:szCs w:val="24"/>
        </w:rPr>
        <w:t xml:space="preserve">NO PRIOR APPLICATION</w:t>
      </w:r>
    </w:p>
    <w:p>
      <w:pPr>
        <w:spacing w:after="0" w:before="0" w:line="480"/>
        <w:ind w:firstLine="720"/>
        <w:jc w:val="both"/>
      </w:pPr>
      <w:r>
        <w:rPr>
          <w:rFonts w:ascii="Times New Roman" w:cs="Times New Roman" w:eastAsia="Times New Roman" w:hAnsi="Times New Roman"/>
          <w:sz w:val="24"/>
          <w:szCs w:val="24"/>
        </w:rPr>
        <w:t xml:space="preserve">72. No prior application for the relief requested herein has been made to this or any other court. Petitioner did not seek modification of the award under CPLR 7511 (c) within the twenty-day period described in the administrator’s Decision Letter, that remedy being limited to arithmetical and formal corrections and unavailable to reach the errors alleged above.</w:t>
      </w:r>
    </w:p>
    <w:p>
      <w:pPr>
        <w:spacing w:after="0" w:before="0" w:line="240"/>
      </w:pPr>
      <w:r>
        <w:rPr>
          <w:rFonts w:ascii="Times New Roman" w:cs="Times New Roman" w:eastAsia="Times New Roman" w:hAnsi="Times New Roman"/>
          <w:sz w:val="24"/>
          <w:szCs w:val="24"/>
        </w:rPr>
        <w:t xml:space="preserve"/>
      </w:r>
    </w:p>
    <w:p>
      <w:pPr>
        <w:spacing w:after="120" w:before="240" w:line="480"/>
        <w:jc w:val="center"/>
      </w:pPr>
      <w:r>
        <w:rPr>
          <w:rFonts w:ascii="Times New Roman" w:cs="Times New Roman" w:eastAsia="Times New Roman" w:hAnsi="Times New Roman"/>
          <w:b/>
          <w:bCs/>
          <w:sz w:val="24"/>
          <w:szCs w:val="24"/>
        </w:rPr>
        <w:t xml:space="preserve">WHEREFORE</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WHEREFORE, Petitioner respectfully requests that this Court enter judgment:</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vacating, pursuant to CPLR 7511 (b) (1) (iii), the arbitration award of Arbitrator Maneesha Sharma dated June 11, 2026 in Attorney General’s Case No. NC-1-1249605441;</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(b) remitting the matter, pursuant to CPLR 7511 (d), for a rehearing and determination before a different arbitrator, or, in the alternative, granting such relief on the merits as the record permits, including a refund to Petitioner of all sums paid under the lease, less only such allowance for use as General Business Law § 198-a (c) (1) permits, together with incidental expenses of $1,793.43;</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 awarding Petitioner the costs and disbursements of this proceeding, together with reasonable attorney’s fees to the extent permitted by General Business Law § 198-a (l) in the event Petitioner retains counsel herein; and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 granting such other and further relief as this Court deems just and proper.</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Dated: New York, New York</w:t>
      </w:r>
    </w:p>
    <w:p>
      <w:pPr>
        <w:spacing w:after="0" w:before="0" w:line="240"/>
        <w:jc w:val="left"/>
      </w:pPr>
      <w:r>
        <w:rPr>
          <w:rFonts w:ascii="Times New Roman" w:cs="Times New Roman" w:eastAsia="Times New Roman" w:hAnsi="Times New Roman"/>
          <w:b w:val="false"/>
          <w:bCs w:val="false"/>
          <w:sz w:val="24"/>
          <w:szCs w:val="24"/>
        </w:rPr>
        <w:t xml:space="preserve">    ____________________,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 M.D.</w:t>
      </w:r>
    </w:p>
    <w:p>
      <w:pPr>
        <w:spacing w:after="0" w:before="0" w:line="240"/>
        <w:ind w:left="4320"/>
        <w:jc w:val="left"/>
      </w:pPr>
      <w:r>
        <w:rPr>
          <w:rFonts w:ascii="Times New Roman" w:cs="Times New Roman" w:eastAsia="Times New Roman" w:hAnsi="Times New Roman"/>
          <w:sz w:val="24"/>
          <w:szCs w:val="24"/>
        </w:rPr>
        <w:t xml:space="preserve">Petitioner, pro se</w:t>
      </w:r>
    </w:p>
    <w:p>
      <w:pPr>
        <w:spacing w:after="0" w:before="0" w:line="240"/>
        <w:ind w:left="4320"/>
        <w:jc w:val="left"/>
      </w:pPr>
      <w:r>
        <w:rPr>
          <w:rFonts w:ascii="Times New Roman" w:cs="Times New Roman" w:eastAsia="Times New Roman" w:hAnsi="Times New Roman"/>
          <w:sz w:val="24"/>
          <w:szCs w:val="24"/>
        </w:rPr>
        <w:t xml:space="preserve">320 West 38th Street, Apt. 2427</w:t>
      </w:r>
    </w:p>
    <w:p>
      <w:pPr>
        <w:spacing w:after="0" w:before="0" w:line="240"/>
        <w:ind w:left="4320"/>
        <w:jc w:val="left"/>
      </w:pPr>
      <w:r>
        <w:rPr>
          <w:rFonts w:ascii="Times New Roman" w:cs="Times New Roman" w:eastAsia="Times New Roman" w:hAnsi="Times New Roman"/>
          <w:sz w:val="24"/>
          <w:szCs w:val="24"/>
        </w:rPr>
        <w:t xml:space="preserve">New York, New York 10018</w:t>
      </w:r>
    </w:p>
    <w:p>
      <w:pPr>
        <w:spacing w:after="0" w:before="0" w:line="240"/>
        <w:ind w:left="4320"/>
        <w:jc w:val="left"/>
      </w:pPr>
      <w:r>
        <w:rPr>
          <w:rFonts w:ascii="Times New Roman" w:cs="Times New Roman" w:eastAsia="Times New Roman" w:hAnsi="Times New Roman"/>
          <w:sz w:val="24"/>
          <w:szCs w:val="24"/>
        </w:rPr>
        <w:t xml:space="preserve">jimmy.hu@gmail.com</w:t>
      </w:r>
    </w:p>
    <w:p>
      <w:r>
        <w:br w:type="page"/>
      </w:r>
    </w:p>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VERIFICATION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STATE OF NEW YORK  )</w:t>
      </w:r>
    </w:p>
    <w:p>
      <w:pPr>
        <w:spacing w:after="0" w:before="0" w:line="240"/>
        <w:jc w:val="left"/>
      </w:pPr>
      <w:r>
        <w:rPr>
          <w:rFonts w:ascii="Times New Roman" w:cs="Times New Roman" w:eastAsia="Times New Roman" w:hAnsi="Times New Roman"/>
          <w:b w:val="false"/>
          <w:bCs w:val="false"/>
          <w:sz w:val="24"/>
          <w:szCs w:val="24"/>
        </w:rPr>
        <w:t xml:space="preserve">         ) ss.:</w:t>
      </w:r>
    </w:p>
    <w:p>
      <w:pPr>
        <w:spacing w:after="0" w:before="0" w:line="240"/>
        <w:jc w:val="left"/>
      </w:pPr>
      <w:r>
        <w:rPr>
          <w:rFonts w:ascii="Times New Roman" w:cs="Times New Roman" w:eastAsia="Times New Roman" w:hAnsi="Times New Roman"/>
          <w:b w:val="false"/>
          <w:bCs w:val="false"/>
          <w:sz w:val="24"/>
          <w:szCs w:val="24"/>
        </w:rPr>
        <w:t xml:space="preserve">COUNTY OF NEW YORK )</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JIMMY Y. HU, M.D., being duly sworn, deposes and says: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I am the Petitioner in the above-entitled special proceeding. I have read the foregoing Verified Petition and know the contents thereof. The same is true to my own knowledge, except as to those matters therein stated to be alleged upon information and belief, and as to those matters I believe them to be true. The grounds of my belief as to all matters not stated upon my own knowledge are the documents annexed hereto as exhibits, the records of the underlying arbitration, and my correspondence with Respondent and its authorized dealer.</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 M.D.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Sworn to before me this</w:t>
      </w:r>
    </w:p>
    <w:p>
      <w:pPr>
        <w:spacing w:after="0" w:before="0" w:line="240"/>
        <w:jc w:val="left"/>
      </w:pPr>
      <w:r>
        <w:rPr>
          <w:rFonts w:ascii="Times New Roman" w:cs="Times New Roman" w:eastAsia="Times New Roman" w:hAnsi="Times New Roman"/>
          <w:b w:val="false"/>
          <w:bCs w:val="false"/>
          <w:sz w:val="24"/>
          <w:szCs w:val="24"/>
        </w:rPr>
        <w:t xml:space="preserve">_____ day of 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_________________________________</w:t>
      </w:r>
    </w:p>
    <w:p>
      <w:pPr>
        <w:spacing w:after="0" w:before="0" w:line="240"/>
        <w:jc w:val="left"/>
      </w:pPr>
      <w:r>
        <w:rPr>
          <w:rFonts w:ascii="Times New Roman" w:cs="Times New Roman" w:eastAsia="Times New Roman" w:hAnsi="Times New Roman"/>
          <w:b w:val="false"/>
          <w:bCs w:val="false"/>
          <w:sz w:val="24"/>
          <w:szCs w:val="24"/>
        </w:rPr>
        <w:t xml:space="preserve">Notary Public</w:t>
      </w:r>
    </w:p>
    <w:p>
      <w:r>
        <w:br w:type="page"/>
      </w:r>
    </w:p>
    <w:p>
      <w:pPr>
        <w:spacing w:after="120" w:before="240" w:line="480"/>
        <w:jc w:val="center"/>
      </w:pPr>
      <w:r>
        <w:rPr>
          <w:rFonts w:ascii="Times New Roman" w:cs="Times New Roman" w:eastAsia="Times New Roman" w:hAnsi="Times New Roman"/>
          <w:b/>
          <w:bCs/>
          <w:sz w:val="24"/>
          <w:szCs w:val="24"/>
        </w:rPr>
        <w:t xml:space="preserve">INDEX OF EXHIBITS ANNEXED TO THE VERIFIED PETITION</w:t>
      </w:r>
    </w:p>
    <w:p>
      <w:pPr>
        <w:spacing w:after="0" w:before="0" w:line="240"/>
      </w:pPr>
      <w:r>
        <w:rPr>
          <w:rFonts w:ascii="Times New Roman" w:cs="Times New Roman" w:eastAsia="Times New Roman" w:hAnsi="Times New Roman"/>
          <w:sz w:val="24"/>
          <w:szCs w:val="24"/>
        </w:rPr>
        <w:t xml:space="preserve"/>
      </w:r>
    </w:p>
    <w:p>
      <w:pPr>
        <w:spacing w:after="160" w:before="0" w:line="240"/>
        <w:ind w:left="1080" w:hanging="1080"/>
        <w:jc w:val="both"/>
      </w:pPr>
      <w:r>
        <w:rPr>
          <w:rFonts w:ascii="Times New Roman" w:cs="Times New Roman" w:eastAsia="Times New Roman" w:hAnsi="Times New Roman"/>
          <w:b/>
          <w:bCs/>
          <w:sz w:val="24"/>
          <w:szCs w:val="24"/>
        </w:rPr>
        <w:t xml:space="preserve">Exhibit A  </w:t>
      </w:r>
      <w:r>
        <w:rPr>
          <w:rFonts w:ascii="Times New Roman" w:cs="Times New Roman" w:eastAsia="Times New Roman" w:hAnsi="Times New Roman"/>
          <w:sz w:val="24"/>
          <w:szCs w:val="24"/>
        </w:rPr>
        <w:t xml:space="preserve">Arbitrator’s Decision dated June 11, 2026 (AG Case No. NC-1-1249605441), together with the NYSDRA Decision Letter of the same date and the Notice of Hearing</w:t>
      </w:r>
    </w:p>
    <w:p>
      <w:pPr>
        <w:spacing w:after="160" w:before="0" w:line="240"/>
        <w:ind w:left="1080" w:hanging="1080"/>
        <w:jc w:val="both"/>
      </w:pPr>
      <w:r>
        <w:rPr>
          <w:rFonts w:ascii="Times New Roman" w:cs="Times New Roman" w:eastAsia="Times New Roman" w:hAnsi="Times New Roman"/>
          <w:b/>
          <w:bCs/>
          <w:sz w:val="24"/>
          <w:szCs w:val="24"/>
        </w:rPr>
        <w:t xml:space="preserve">Exhibit B  </w:t>
      </w:r>
      <w:r>
        <w:rPr>
          <w:rFonts w:ascii="Times New Roman" w:cs="Times New Roman" w:eastAsia="Times New Roman" w:hAnsi="Times New Roman"/>
          <w:sz w:val="24"/>
          <w:szCs w:val="24"/>
        </w:rPr>
        <w:t xml:space="preserve">Repair Order #358530 (opened April 3, 2025; READY August 5, 2025; “VEH. DISABLED”; odometer 8,148 → 8,151) — the 124-day order</w:t>
      </w:r>
    </w:p>
    <w:p>
      <w:pPr>
        <w:spacing w:after="160" w:before="0" w:line="240"/>
        <w:ind w:left="1080" w:hanging="1080"/>
        <w:jc w:val="both"/>
      </w:pPr>
      <w:r>
        <w:rPr>
          <w:rFonts w:ascii="Times New Roman" w:cs="Times New Roman" w:eastAsia="Times New Roman" w:hAnsi="Times New Roman"/>
          <w:b/>
          <w:bCs/>
          <w:sz w:val="24"/>
          <w:szCs w:val="24"/>
        </w:rPr>
        <w:t xml:space="preserve">Exhibit C  </w:t>
      </w:r>
      <w:r>
        <w:rPr>
          <w:rFonts w:ascii="Times New Roman" w:cs="Times New Roman" w:eastAsia="Times New Roman" w:hAnsi="Times New Roman"/>
          <w:sz w:val="24"/>
          <w:szCs w:val="24"/>
        </w:rPr>
        <w:t xml:space="preserve">Repair Order #356398 (February 12, 2025; odometer 7,026 → 7,028; Recall 272)</w:t>
      </w:r>
    </w:p>
    <w:p>
      <w:pPr>
        <w:spacing w:after="160" w:before="0" w:line="240"/>
        <w:ind w:left="1080" w:hanging="1080"/>
        <w:jc w:val="both"/>
      </w:pPr>
      <w:r>
        <w:rPr>
          <w:rFonts w:ascii="Times New Roman" w:cs="Times New Roman" w:eastAsia="Times New Roman" w:hAnsi="Times New Roman"/>
          <w:b/>
          <w:bCs/>
          <w:sz w:val="24"/>
          <w:szCs w:val="24"/>
        </w:rPr>
        <w:t xml:space="preserve">Exhibit D  </w:t>
      </w:r>
      <w:r>
        <w:rPr>
          <w:rFonts w:ascii="Times New Roman" w:cs="Times New Roman" w:eastAsia="Times New Roman" w:hAnsi="Times New Roman"/>
          <w:sz w:val="24"/>
          <w:szCs w:val="24"/>
        </w:rPr>
        <w:t xml:space="preserve">Repair Order #370267 (opened February 18, 2026; odometer 11,230 → 11,231)</w:t>
      </w:r>
    </w:p>
    <w:p>
      <w:pPr>
        <w:spacing w:after="160" w:before="0" w:line="240"/>
        <w:ind w:left="1080" w:hanging="1080"/>
        <w:jc w:val="both"/>
      </w:pPr>
      <w:r>
        <w:rPr>
          <w:rFonts w:ascii="Times New Roman" w:cs="Times New Roman" w:eastAsia="Times New Roman" w:hAnsi="Times New Roman"/>
          <w:b/>
          <w:bCs/>
          <w:sz w:val="24"/>
          <w:szCs w:val="24"/>
        </w:rPr>
        <w:t xml:space="preserve">Exhibit E  </w:t>
      </w:r>
      <w:r>
        <w:rPr>
          <w:rFonts w:ascii="Times New Roman" w:cs="Times New Roman" w:eastAsia="Times New Roman" w:hAnsi="Times New Roman"/>
          <w:sz w:val="24"/>
          <w:szCs w:val="24"/>
        </w:rPr>
        <w:t xml:space="preserve">Motor Vehicle Lease Agreement dated May 23, 2024 (Koeppel Hyundai), and Bill of Sale</w:t>
      </w:r>
    </w:p>
    <w:p>
      <w:pPr>
        <w:spacing w:after="160" w:before="0" w:line="240"/>
        <w:ind w:left="1080" w:hanging="1080"/>
        <w:jc w:val="both"/>
      </w:pPr>
      <w:r>
        <w:rPr>
          <w:rFonts w:ascii="Times New Roman" w:cs="Times New Roman" w:eastAsia="Times New Roman" w:hAnsi="Times New Roman"/>
          <w:b/>
          <w:bCs/>
          <w:sz w:val="24"/>
          <w:szCs w:val="24"/>
        </w:rPr>
        <w:t xml:space="preserve">Exhibit F  </w:t>
      </w:r>
      <w:r>
        <w:rPr>
          <w:rFonts w:ascii="Times New Roman" w:cs="Times New Roman" w:eastAsia="Times New Roman" w:hAnsi="Times New Roman"/>
          <w:sz w:val="24"/>
          <w:szCs w:val="24"/>
        </w:rPr>
        <w:t xml:space="preserve">Respondent’s offer letter dated August 18, 2025 (arbitration Ex. 5)</w:t>
      </w:r>
    </w:p>
    <w:p>
      <w:pPr>
        <w:spacing w:after="160" w:before="0" w:line="240"/>
        <w:ind w:left="1080" w:hanging="1080"/>
        <w:jc w:val="both"/>
      </w:pPr>
      <w:r>
        <w:rPr>
          <w:rFonts w:ascii="Times New Roman" w:cs="Times New Roman" w:eastAsia="Times New Roman" w:hAnsi="Times New Roman"/>
          <w:b/>
          <w:bCs/>
          <w:sz w:val="24"/>
          <w:szCs w:val="24"/>
        </w:rPr>
        <w:t xml:space="preserve">Exhibit G  </w:t>
      </w:r>
      <w:r>
        <w:rPr>
          <w:rFonts w:ascii="Times New Roman" w:cs="Times New Roman" w:eastAsia="Times New Roman" w:hAnsi="Times New Roman"/>
          <w:sz w:val="24"/>
          <w:szCs w:val="24"/>
        </w:rPr>
        <w:t xml:space="preserve">Respondent’s offer letter dated January 29, 2026 (arbitration Ex. 6)</w:t>
      </w:r>
    </w:p>
    <w:p>
      <w:pPr>
        <w:spacing w:after="160" w:before="0" w:line="240"/>
        <w:ind w:left="1080" w:hanging="1080"/>
        <w:jc w:val="both"/>
      </w:pPr>
      <w:r>
        <w:rPr>
          <w:rFonts w:ascii="Times New Roman" w:cs="Times New Roman" w:eastAsia="Times New Roman" w:hAnsi="Times New Roman"/>
          <w:b/>
          <w:bCs/>
          <w:sz w:val="24"/>
          <w:szCs w:val="24"/>
        </w:rPr>
        <w:t xml:space="preserve">Exhibit H  </w:t>
      </w:r>
      <w:r>
        <w:rPr>
          <w:rFonts w:ascii="Times New Roman" w:cs="Times New Roman" w:eastAsia="Times New Roman" w:hAnsi="Times New Roman"/>
          <w:sz w:val="24"/>
          <w:szCs w:val="24"/>
        </w:rPr>
        <w:t xml:space="preserve">Settlement Agreement and Release transmitted September 2025 (arbitration Ex. 9a)</w:t>
      </w:r>
    </w:p>
    <w:p>
      <w:pPr>
        <w:spacing w:after="160" w:before="0" w:line="240"/>
        <w:ind w:left="1080" w:hanging="1080"/>
        <w:jc w:val="both"/>
      </w:pPr>
      <w:r>
        <w:rPr>
          <w:rFonts w:ascii="Times New Roman" w:cs="Times New Roman" w:eastAsia="Times New Roman" w:hAnsi="Times New Roman"/>
          <w:b/>
          <w:bCs/>
          <w:sz w:val="24"/>
          <w:szCs w:val="24"/>
        </w:rPr>
        <w:t xml:space="preserve">Exhibit I  </w:t>
      </w:r>
      <w:r>
        <w:rPr>
          <w:rFonts w:ascii="Times New Roman" w:cs="Times New Roman" w:eastAsia="Times New Roman" w:hAnsi="Times New Roman"/>
          <w:sz w:val="24"/>
          <w:szCs w:val="24"/>
        </w:rPr>
        <w:t xml:space="preserve">Communication log and correspondence with Respondent (arbitration Ex. 22)</w:t>
      </w:r>
    </w:p>
    <w:p>
      <w:pPr>
        <w:spacing w:after="160" w:before="0" w:line="240"/>
        <w:ind w:left="1080" w:hanging="1080"/>
        <w:jc w:val="both"/>
      </w:pPr>
      <w:r>
        <w:rPr>
          <w:rFonts w:ascii="Times New Roman" w:cs="Times New Roman" w:eastAsia="Times New Roman" w:hAnsi="Times New Roman"/>
          <w:b/>
          <w:bCs/>
          <w:sz w:val="24"/>
          <w:szCs w:val="24"/>
        </w:rPr>
        <w:t xml:space="preserve">Exhibit J  </w:t>
      </w:r>
      <w:r>
        <w:rPr>
          <w:rFonts w:ascii="Times New Roman" w:cs="Times New Roman" w:eastAsia="Times New Roman" w:hAnsi="Times New Roman"/>
          <w:sz w:val="24"/>
          <w:szCs w:val="24"/>
        </w:rPr>
        <w:t xml:space="preserve">Itemized expense ledger and expense packet totaling $1,793.43, and the January 8, 2026 Smart Diagnosis report (arbitration Exs. 10, 17, 21)</w:t>
      </w:r>
    </w:p>
    <w:p>
      <w:pPr>
        <w:spacing w:after="160" w:before="0" w:line="240"/>
        <w:ind w:left="1080" w:hanging="1080"/>
        <w:jc w:val="both"/>
      </w:pPr>
      <w:r>
        <w:rPr>
          <w:rFonts w:ascii="Times New Roman" w:cs="Times New Roman" w:eastAsia="Times New Roman" w:hAnsi="Times New Roman"/>
          <w:b/>
          <w:bCs/>
          <w:sz w:val="24"/>
          <w:szCs w:val="24"/>
        </w:rPr>
        <w:t xml:space="preserve">Exhibit K  </w:t>
      </w:r>
      <w:r>
        <w:rPr>
          <w:rFonts w:ascii="Times New Roman" w:cs="Times New Roman" w:eastAsia="Times New Roman" w:hAnsi="Times New Roman"/>
          <w:sz w:val="24"/>
          <w:szCs w:val="24"/>
        </w:rPr>
        <w:t xml:space="preserve">Lease extension agreement (arbitration Ex. 15)</w:t>
      </w:r>
    </w:p>
    <w:p>
      <w:pPr>
        <w:spacing w:after="160" w:before="0" w:line="240"/>
        <w:ind w:left="1080" w:hanging="1080"/>
        <w:jc w:val="both"/>
      </w:pPr>
      <w:r>
        <w:rPr>
          <w:rFonts w:ascii="Times New Roman" w:cs="Times New Roman" w:eastAsia="Times New Roman" w:hAnsi="Times New Roman"/>
          <w:b/>
          <w:bCs/>
          <w:sz w:val="24"/>
          <w:szCs w:val="24"/>
        </w:rPr>
        <w:t xml:space="preserve">Exhibit L  </w:t>
      </w:r>
      <w:r>
        <w:rPr>
          <w:rFonts w:ascii="Times New Roman" w:cs="Times New Roman" w:eastAsia="Times New Roman" w:hAnsi="Times New Roman"/>
          <w:sz w:val="24"/>
          <w:szCs w:val="24"/>
        </w:rPr>
        <w:t xml:space="preserve">Petitioner’s arbitration submission, with its exhibit index</w:t>
      </w:r>
    </w:p>
    <w:p>
      <w:pPr>
        <w:spacing w:after="0" w:before="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i/>
          <w:iCs/>
          <w:sz w:val="24"/>
          <w:szCs w:val="24"/>
        </w:rPr>
        <w:t xml:space="preserve">[DRAFTING NOTE — REMOVE BEFORE FILING: exhibit lettering is provisional. Renumber to match the exhibits actually annexed, and conform every record citation in the body of the Petition and in the Memorandum of Law. Arbitration Exhibit 11 (Days Out of Service) exists only as a Google Doc and must be exported to PDF before it can be annexed.]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2026-07-25T02:08:46.499Z</dcterms:created>
  <dcterms:modified xsi:type="dcterms:W3CDTF">2026-07-25T02:08:46.499Z</dcterms:modified>
</cp:coreProperties>
</file>

<file path=docProps/custom.xml><?xml version="1.0" encoding="utf-8"?>
<Properties xmlns="http://schemas.openxmlformats.org/officeDocument/2006/custom-properties" xmlns:vt="http://schemas.openxmlformats.org/officeDocument/2006/docPropsVTypes"/>
</file>