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i w:val="false"/>
          <w:iCs w:val="false"/>
          <w:sz w:val="26"/>
          <w:szCs w:val="26"/>
        </w:rPr>
        <w:t xml:space="preserve">HU v. HYUNDAI MOTOR AMERICA</w:t>
      </w:r>
    </w:p>
    <w:p>
      <w:pPr>
        <w:spacing w:after="0" w:before="20" w:line="240"/>
        <w:jc w:val="center"/>
      </w:pPr>
      <w:r>
        <w:rPr>
          <w:rFonts w:ascii="Times New Roman" w:cs="Times New Roman" w:eastAsia="Times New Roman" w:hAnsi="Times New Roman"/>
          <w:b/>
          <w:bCs/>
          <w:i w:val="false"/>
          <w:iCs w:val="false"/>
          <w:sz w:val="21"/>
          <w:szCs w:val="21"/>
        </w:rPr>
        <w:t xml:space="preserve">Case Summary for Prospective Counsel</w:t>
      </w:r>
    </w:p>
    <w:p>
      <w:pPr>
        <w:spacing w:after="0" w:before="20" w:line="240"/>
        <w:jc w:val="center"/>
      </w:pPr>
      <w:r>
        <w:rPr>
          <w:rFonts w:ascii="Times New Roman" w:cs="Times New Roman" w:eastAsia="Times New Roman" w:hAnsi="Times New Roman"/>
          <w:b w:val="false"/>
          <w:bCs w:val="false"/>
          <w:i w:val="false"/>
          <w:iCs w:val="false"/>
          <w:sz w:val="17"/>
          <w:szCs w:val="17"/>
        </w:rPr>
        <w:t xml:space="preserve">Jimmy Y. Hu, self-represented  ·  320 West 38th Street, Apt. 2427, New York, NY 10018  ·  jimmy.hu@gmail.com</w:t>
      </w:r>
    </w:p>
    <w:p>
      <w:pPr>
        <w:pBdr>
          <w:bottom w:val="single" w:color="000000" w:sz="6" w:space="1"/>
        </w:pBdr>
        <w:spacing w:after="30" w:before="70" w:line="240"/>
      </w:pPr>
      <w:r>
        <w:rPr>
          <w:rFonts w:ascii="Times New Roman" w:cs="Times New Roman" w:eastAsia="Times New Roman" w:hAnsi="Times New Roman"/>
          <w:b w:val="false"/>
          <w:bCs w:val="false"/>
          <w:i w:val="false"/>
          <w:iCs w:val="false"/>
          <w:sz w:val="19"/>
          <w:szCs w:val="19"/>
        </w:rPr>
        <w:t xml:space="preserve"/>
      </w:r>
    </w:p>
    <w:p>
      <w:pPr>
        <w:spacing w:after="0" w:before="80" w:line="216"/>
        <w:jc w:val="both"/>
      </w:pPr>
      <w:r>
        <w:rPr>
          <w:rFonts w:ascii="Times New Roman" w:cs="Times New Roman" w:eastAsia="Times New Roman" w:hAnsi="Times New Roman"/>
          <w:b/>
          <w:bCs/>
          <w:i w:val="false"/>
          <w:iCs w:val="false"/>
          <w:sz w:val="19"/>
          <w:szCs w:val="19"/>
        </w:rPr>
        <w:t xml:space="preserve">THE ASK.</w:t>
      </w:r>
      <w:r>
        <w:rPr>
          <w:rFonts w:ascii="Times New Roman" w:cs="Times New Roman" w:eastAsia="Times New Roman" w:hAnsi="Times New Roman"/>
          <w:b w:val="false"/>
          <w:bCs w:val="false"/>
          <w:i w:val="false"/>
          <w:iCs w:val="false"/>
          <w:sz w:val="19"/>
          <w:szCs w:val="19"/>
        </w:rPr>
        <w:t xml:space="preserve"> Representation in a CPLR Article 75 special proceeding to vacate an adverse New York lemon-law arbitration award, in Supreme Court, New York County (First Department). GBL § 198-a(l) provides for attorney’s fees to a prevailing consumer (scope for a post-award proceeding to be confirmed). —   FILING DEADLINE: SEPTEMBER 9, 2026, ninety days from delivery of the award (CPLR 7511[a]). Fixed and not extendable.</w:t>
      </w:r>
    </w:p>
    <w:p>
      <w:pPr>
        <w:spacing w:after="0" w:before="80" w:line="216"/>
        <w:jc w:val="both"/>
      </w:pPr>
      <w:r>
        <w:rPr>
          <w:rFonts w:ascii="Times New Roman" w:cs="Times New Roman" w:eastAsia="Times New Roman" w:hAnsi="Times New Roman"/>
          <w:b/>
          <w:bCs/>
          <w:i w:val="false"/>
          <w:iCs w:val="false"/>
          <w:sz w:val="19"/>
          <w:szCs w:val="19"/>
        </w:rPr>
        <w:t xml:space="preserve">POSTURE.</w:t>
      </w:r>
      <w:r>
        <w:rPr>
          <w:rFonts w:ascii="Times New Roman" w:cs="Times New Roman" w:eastAsia="Times New Roman" w:hAnsi="Times New Roman"/>
          <w:b w:val="false"/>
          <w:bCs w:val="false"/>
          <w:i w:val="false"/>
          <w:iCs w:val="false"/>
          <w:sz w:val="19"/>
          <w:szCs w:val="19"/>
        </w:rPr>
        <w:t xml:space="preserve"> 2024 Hyundai IONIQ 5 leased new May 23, 2024 at 40 miles (Koeppel Hyundai, Long Island City; $314/month). High-voltage battery defect first reported February 12, 2025 at 7,026 miles. Compulsory arbitration under GBL § 198-a(k), administered by NYSDRA for the Attorney General; hearing June 9, 2026 before Arbitrator Maneesha Sharma; award June 11, 2026, “FOR THE MANUFACTURER.”</w:t>
      </w:r>
    </w:p>
    <w:p>
      <w:pPr>
        <w:spacing w:after="0" w:before="80" w:line="216"/>
        <w:jc w:val="both"/>
      </w:pPr>
      <w:r>
        <w:rPr>
          <w:rFonts w:ascii="Times New Roman" w:cs="Times New Roman" w:eastAsia="Times New Roman" w:hAnsi="Times New Roman"/>
          <w:b/>
          <w:bCs/>
          <w:i w:val="false"/>
          <w:iCs w:val="false"/>
          <w:sz w:val="19"/>
          <w:szCs w:val="19"/>
        </w:rPr>
        <w:t xml:space="preserve">THE ANCHOR FACT.</w:t>
      </w:r>
      <w:r>
        <w:rPr>
          <w:rFonts w:ascii="Times New Roman" w:cs="Times New Roman" w:eastAsia="Times New Roman" w:hAnsi="Times New Roman"/>
          <w:b w:val="false"/>
          <w:bCs w:val="false"/>
          <w:i w:val="false"/>
          <w:iCs w:val="false"/>
          <w:sz w:val="19"/>
          <w:szCs w:val="19"/>
        </w:rPr>
        <w:t xml:space="preserve"> Hyundai’s own repair order #358530 records the vehicle in for repair from April 3 to August 5, 2025 — 124 calendar days, status “VEH. DISABLED,” odometer 8,148 in and 8,151 out. The high-voltage battery pack was replaced under warranty (part 37501-GI351-RM, $11,422.40; $17,483.69 in total warranty charges on that order). GBL § 198-a(d)(2) presumes a reasonable number of repair attempts at thirty days. This is 4.1 times the threshold, on the manufacturer’s own document, and undisputed.</w:t>
      </w:r>
    </w:p>
    <w:p>
      <w:pPr>
        <w:spacing w:after="0" w:before="80" w:line="216"/>
        <w:jc w:val="both"/>
      </w:pPr>
      <w:r>
        <w:rPr>
          <w:rFonts w:ascii="Times New Roman" w:cs="Times New Roman" w:eastAsia="Times New Roman" w:hAnsi="Times New Roman"/>
          <w:b/>
          <w:bCs/>
          <w:i w:val="false"/>
          <w:iCs w:val="false"/>
          <w:sz w:val="19"/>
          <w:szCs w:val="19"/>
        </w:rPr>
        <w:t xml:space="preserve">WHY THE AWARD IS VACATABLE — CPLR 7511(b)(1)(iii).</w:t>
      </w:r>
      <w:r>
        <w:rPr>
          <w:rFonts w:ascii="Times New Roman" w:cs="Times New Roman" w:eastAsia="Times New Roman" w:hAnsi="Times New Roman"/>
          <w:b w:val="false"/>
          <w:bCs w:val="false"/>
          <w:i w:val="false"/>
          <w:iCs w:val="false"/>
          <w:sz w:val="19"/>
          <w:szCs w:val="19"/>
        </w:rPr>
        <w:t xml:space="preserve"> Because the arbitration was compulsory, review is broad: the award must accord with due process, rest on adequate record evidence, and be rational. Motor Veh. Mfrs. Assn. v State of New York, 75 NY2d 175, 186 (1990); Matter of Gen. Motors Corp. [Gurau], 33 AD3d 1149, 1151 (3d Dept 2006). The First Department has vacated lemon-law awards on that standard. Matter of BMW of N. Am., LLC v Leonidou, 2020 NY Slip Op 02858; Matter of BMW of N. Am., LLC v Riina, 149 AD3d 420. Four grounds:</w:t>
      </w:r>
    </w:p>
    <w:p>
      <w:pPr>
        <w:spacing w:after="0" w:before="30" w:line="216"/>
        <w:ind w:left="300" w:hanging="160"/>
        <w:jc w:val="both"/>
      </w:pPr>
      <w:r>
        <w:rPr>
          <w:rFonts w:ascii="Times New Roman" w:cs="Times New Roman" w:eastAsia="Times New Roman" w:hAnsi="Times New Roman"/>
          <w:b w:val="false"/>
          <w:bCs w:val="false"/>
          <w:i w:val="false"/>
          <w:iCs w:val="false"/>
          <w:sz w:val="19"/>
          <w:szCs w:val="19"/>
        </w:rPr>
        <w:t xml:space="preserve">•  </w:t>
      </w:r>
      <w:r>
        <w:rPr>
          <w:rFonts w:ascii="Times New Roman" w:cs="Times New Roman" w:eastAsia="Times New Roman" w:hAnsi="Times New Roman"/>
          <w:b/>
          <w:bCs/>
          <w:i w:val="false"/>
          <w:iCs w:val="false"/>
          <w:sz w:val="19"/>
          <w:szCs w:val="19"/>
        </w:rPr>
        <w:t xml:space="preserve">The award refutes itself.</w:t>
      </w:r>
      <w:r>
        <w:rPr>
          <w:rFonts w:ascii="Times New Roman" w:cs="Times New Roman" w:eastAsia="Times New Roman" w:hAnsi="Times New Roman"/>
          <w:b w:val="false"/>
          <w:bCs w:val="false"/>
          <w:i w:val="false"/>
          <w:iCs w:val="false"/>
          <w:sz w:val="19"/>
          <w:szCs w:val="19"/>
        </w:rPr>
        <w:t xml:space="preserve"> Its dispositive sentence — “Based on testimony that the vehicle is currently operating and no allegation that the use and value is impaired, the consumer has not met his burden of proof” — sits in the same paragraph as the arbitrator’s own summary of the impairment I alleged. That is a statement about the record, not a credibility call.</w:t>
      </w:r>
    </w:p>
    <w:p>
      <w:pPr>
        <w:spacing w:after="0" w:before="30" w:line="216"/>
        <w:ind w:left="300" w:hanging="160"/>
        <w:jc w:val="both"/>
      </w:pPr>
      <w:r>
        <w:rPr>
          <w:rFonts w:ascii="Times New Roman" w:cs="Times New Roman" w:eastAsia="Times New Roman" w:hAnsi="Times New Roman"/>
          <w:b w:val="false"/>
          <w:bCs w:val="false"/>
          <w:i w:val="false"/>
          <w:iCs w:val="false"/>
          <w:sz w:val="19"/>
          <w:szCs w:val="19"/>
        </w:rPr>
        <w:t xml:space="preserve">•  </w:t>
      </w:r>
      <w:r>
        <w:rPr>
          <w:rFonts w:ascii="Times New Roman" w:cs="Times New Roman" w:eastAsia="Times New Roman" w:hAnsi="Times New Roman"/>
          <w:b/>
          <w:bCs/>
          <w:i w:val="false"/>
          <w:iCs w:val="false"/>
          <w:sz w:val="19"/>
          <w:szCs w:val="19"/>
        </w:rPr>
        <w:t xml:space="preserve">It applies a standard the Court of Appeals rejected.</w:t>
      </w:r>
      <w:r>
        <w:rPr>
          <w:rFonts w:ascii="Times New Roman" w:cs="Times New Roman" w:eastAsia="Times New Roman" w:hAnsi="Times New Roman"/>
          <w:b w:val="false"/>
          <w:bCs w:val="false"/>
          <w:i w:val="false"/>
          <w:iCs w:val="false"/>
          <w:sz w:val="19"/>
          <w:szCs w:val="19"/>
        </w:rPr>
        <w:t xml:space="preserve"> Conditioning relief on the vehicle’s condition at the hearing is foreclosed by Matter of DaimlerChrysler Corp. v Spitzer, 7 NY3d 653, 658 (2006); subdivision (d)(2) has no continues-to-exist element.</w:t>
      </w:r>
    </w:p>
    <w:p>
      <w:pPr>
        <w:spacing w:after="0" w:before="30" w:line="216"/>
        <w:ind w:left="300" w:hanging="160"/>
        <w:jc w:val="both"/>
      </w:pPr>
      <w:r>
        <w:rPr>
          <w:rFonts w:ascii="Times New Roman" w:cs="Times New Roman" w:eastAsia="Times New Roman" w:hAnsi="Times New Roman"/>
          <w:b w:val="false"/>
          <w:bCs w:val="false"/>
          <w:i w:val="false"/>
          <w:iCs w:val="false"/>
          <w:sz w:val="19"/>
          <w:szCs w:val="19"/>
        </w:rPr>
        <w:t xml:space="preserve">•  </w:t>
      </w:r>
      <w:r>
        <w:rPr>
          <w:rFonts w:ascii="Times New Roman" w:cs="Times New Roman" w:eastAsia="Times New Roman" w:hAnsi="Times New Roman"/>
          <w:b/>
          <w:bCs/>
          <w:i w:val="false"/>
          <w:iCs w:val="false"/>
          <w:sz w:val="19"/>
          <w:szCs w:val="19"/>
        </w:rPr>
        <w:t xml:space="preserve">It never reached the thirty-day claim.</w:t>
      </w:r>
      <w:r>
        <w:rPr>
          <w:rFonts w:ascii="Times New Roman" w:cs="Times New Roman" w:eastAsia="Times New Roman" w:hAnsi="Times New Roman"/>
          <w:b w:val="false"/>
          <w:bCs w:val="false"/>
          <w:i w:val="false"/>
          <w:iCs w:val="false"/>
          <w:sz w:val="19"/>
          <w:szCs w:val="19"/>
        </w:rPr>
        <w:t xml:space="preserve"> The (d)(1) four-attempt and (d)(2) thirty-day presumptions are independent, and § 198-a(e)’s extension list — war, invasion, strike, fire, flood, natural disaster — does not include the parts backorder the arbitrator credited.</w:t>
      </w:r>
    </w:p>
    <w:p>
      <w:pPr>
        <w:spacing w:after="0" w:before="30" w:line="216"/>
        <w:ind w:left="300" w:hanging="160"/>
        <w:jc w:val="both"/>
      </w:pPr>
      <w:r>
        <w:rPr>
          <w:rFonts w:ascii="Times New Roman" w:cs="Times New Roman" w:eastAsia="Times New Roman" w:hAnsi="Times New Roman"/>
          <w:b w:val="false"/>
          <w:bCs w:val="false"/>
          <w:i w:val="false"/>
          <w:iCs w:val="false"/>
          <w:sz w:val="19"/>
          <w:szCs w:val="19"/>
        </w:rPr>
        <w:t xml:space="preserve">•  </w:t>
      </w:r>
      <w:r>
        <w:rPr>
          <w:rFonts w:ascii="Times New Roman" w:cs="Times New Roman" w:eastAsia="Times New Roman" w:hAnsi="Times New Roman"/>
          <w:b/>
          <w:bCs/>
          <w:i w:val="false"/>
          <w:iCs w:val="false"/>
          <w:sz w:val="19"/>
          <w:szCs w:val="19"/>
        </w:rPr>
        <w:t xml:space="preserve">The errors show no reasoned decision-making.</w:t>
      </w:r>
      <w:r>
        <w:rPr>
          <w:rFonts w:ascii="Times New Roman" w:cs="Times New Roman" w:eastAsia="Times New Roman" w:hAnsi="Times New Roman"/>
          <w:b w:val="false"/>
          <w:bCs w:val="false"/>
          <w:i w:val="false"/>
          <w:iCs w:val="false"/>
          <w:sz w:val="19"/>
          <w:szCs w:val="19"/>
        </w:rPr>
        <w:t xml:space="preserve"> A “new 2024 WAGON ION” from “Hyundai Brooklyn”; the controlling repair order miscited as “RO 258530”; the February 2026 failure attributed to an August 2025 no-work visit. The merits analysis is five words: “The manufacturer’s argument is compelling.”</w:t>
      </w:r>
    </w:p>
    <w:p>
      <w:pPr>
        <w:spacing w:after="0" w:before="80" w:line="216"/>
        <w:jc w:val="both"/>
      </w:pPr>
      <w:r>
        <w:rPr>
          <w:rFonts w:ascii="Times New Roman" w:cs="Times New Roman" w:eastAsia="Times New Roman" w:hAnsi="Times New Roman"/>
          <w:b/>
          <w:bCs/>
          <w:i w:val="false"/>
          <w:iCs w:val="false"/>
          <w:sz w:val="19"/>
          <w:szCs w:val="19"/>
        </w:rPr>
        <w:t xml:space="preserve">SETTLEMENT HISTORY AND EXPOSURE.</w:t>
      </w:r>
      <w:r>
        <w:rPr>
          <w:rFonts w:ascii="Times New Roman" w:cs="Times New Roman" w:eastAsia="Times New Roman" w:hAnsi="Times New Roman"/>
          <w:b w:val="false"/>
          <w:bCs w:val="false"/>
          <w:i w:val="false"/>
          <w:iCs w:val="false"/>
          <w:sz w:val="19"/>
          <w:szCs w:val="19"/>
        </w:rPr>
        <w:t xml:space="preserve"> In August 2025 Hyundai offered repurchase at $7,977.00, mileage deduction waived, or $4,000 to keep the car. I accepted the cash option in writing; the deal died solely on the release terms — a Civil Code § 1542 unknown-claims waiver, confidentiality, indemnity — not on price. A January 2026 offer of $5,388.51 took a $4,326.49 mileage deduction on the wrong 8,148-mile basis and lapsed. Hyundai then withdrew repurchase and conveyed $2,500 through counsel weeks before the hearing. Sought: the § 198-a(c) lessee refund, $1,793.43 in documented incidentals, and fees.</w:t>
      </w:r>
    </w:p>
    <w:p>
      <w:pPr>
        <w:spacing w:after="0" w:before="80" w:line="216"/>
        <w:jc w:val="both"/>
      </w:pPr>
      <w:r>
        <w:rPr>
          <w:rFonts w:ascii="Times New Roman" w:cs="Times New Roman" w:eastAsia="Times New Roman" w:hAnsi="Times New Roman"/>
          <w:b/>
          <w:bCs/>
          <w:i w:val="false"/>
          <w:iCs w:val="false"/>
          <w:sz w:val="19"/>
          <w:szCs w:val="19"/>
        </w:rPr>
        <w:t xml:space="preserve">FILE STATUS.</w:t>
      </w:r>
      <w:r>
        <w:rPr>
          <w:rFonts w:ascii="Times New Roman" w:cs="Times New Roman" w:eastAsia="Times New Roman" w:hAnsi="Times New Roman"/>
          <w:b w:val="false"/>
          <w:bCs w:val="false"/>
          <w:i w:val="false"/>
          <w:iCs w:val="false"/>
          <w:sz w:val="19"/>
          <w:szCs w:val="19"/>
        </w:rPr>
        <w:t xml:space="preserve"> The record is complete and verified — award, decision letter, repair orders, lease, both offers, the proposed release, expense packet, correspondence. A verified petition, notice of petition, and memorandum of law are drafted; caption, venue, and BCL § 306/307 service are resolved.</w:t>
      </w:r>
    </w:p>
    <w:p>
      <w:pPr>
        <w:spacing w:after="0" w:before="80" w:line="216"/>
        <w:jc w:val="both"/>
      </w:pPr>
      <w:r>
        <w:rPr>
          <w:rFonts w:ascii="Times New Roman" w:cs="Times New Roman" w:eastAsia="Times New Roman" w:hAnsi="Times New Roman"/>
          <w:b/>
          <w:bCs/>
          <w:i w:val="false"/>
          <w:iCs w:val="false"/>
          <w:sz w:val="19"/>
          <w:szCs w:val="19"/>
        </w:rPr>
        <w:t xml:space="preserve">WHAT CUTS AGAINST ME.</w:t>
      </w:r>
      <w:r>
        <w:rPr>
          <w:rFonts w:ascii="Times New Roman" w:cs="Times New Roman" w:eastAsia="Times New Roman" w:hAnsi="Times New Roman"/>
          <w:b w:val="false"/>
          <w:bCs w:val="false"/>
          <w:i w:val="false"/>
          <w:iCs w:val="false"/>
          <w:sz w:val="19"/>
          <w:szCs w:val="19"/>
        </w:rPr>
        <w:t xml:space="preserve"> The car is still mine under a month-to-month extension at roughly 15,000 miles and currently runs; the arbitrator leaned on that and Hyundai will too, though DaimlerChrysler makes it legally irrelevant. Vacatur is a demanding remedy, and the likely relief is remittal for rehearing under CPLR 7511(d) rather than judgment on the merits. Unrelated headlamp collision damage, repaired at my own expense, was floated as a possible cause of the January 2026 no-start before the dealer confirmed a warranty-covered defect. And I was self-represented at the hearing.</w:t>
      </w:r>
    </w:p>
    <w:p>
      <w:pPr>
        <w:pBdr>
          <w:bottom w:val="single" w:color="000000" w:sz="6" w:space="1"/>
        </w:pBdr>
        <w:spacing w:after="30" w:before="70" w:line="240"/>
      </w:pPr>
      <w:r>
        <w:rPr>
          <w:rFonts w:ascii="Times New Roman" w:cs="Times New Roman" w:eastAsia="Times New Roman" w:hAnsi="Times New Roman"/>
          <w:b w:val="false"/>
          <w:bCs w:val="false"/>
          <w:i w:val="false"/>
          <w:iCs w:val="false"/>
          <w:sz w:val="19"/>
          <w:szCs w:val="19"/>
        </w:rPr>
        <w:t xml:space="preserve"/>
      </w:r>
    </w:p>
    <w:p>
      <w:pPr>
        <w:spacing w:after="0" w:before="0" w:line="240"/>
        <w:jc w:val="both"/>
      </w:pPr>
      <w:r>
        <w:rPr>
          <w:rFonts w:ascii="Times New Roman" w:cs="Times New Roman" w:eastAsia="Times New Roman" w:hAnsi="Times New Roman"/>
          <w:b w:val="false"/>
          <w:bCs w:val="false"/>
          <w:i/>
          <w:iCs/>
          <w:sz w:val="17"/>
          <w:szCs w:val="17"/>
        </w:rPr>
        <w:t xml:space="preserve">Every figure, date, repair-order number, and quotation above is sourced to a document in the file and can be produced on request.</w:t>
      </w:r>
    </w:p>
    <w:sectPr>
      <w:pgSz w:w="12240" w:h="15840" w:orient="portrait"/>
      <w:pgMar w:top="936" w:right="936" w:bottom="936" w:left="93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2026-07-27T20:56:17.479Z</dcterms:created>
  <dcterms:modified xsi:type="dcterms:W3CDTF">2026-07-27T20:56:17.479Z</dcterms:modified>
</cp:coreProperties>
</file>

<file path=docProps/custom.xml><?xml version="1.0" encoding="utf-8"?>
<Properties xmlns="http://schemas.openxmlformats.org/officeDocument/2006/custom-properties" xmlns:vt="http://schemas.openxmlformats.org/officeDocument/2006/docPropsVTypes"/>
</file>