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pPr>
      <w:r>
        <w:rPr>
          <w:rFonts w:ascii="Times New Roman" w:cs="Times New Roman" w:eastAsia="Times New Roman" w:hAnsi="Times New Roman"/>
          <w:sz w:val="24"/>
          <w:szCs w:val="24"/>
        </w:rPr>
        <w:t xml:space="preserve">SUPREME COURT OF THE STATE OF NEW YORK</w:t>
      </w:r>
    </w:p>
    <w:p>
      <w:pPr>
        <w:spacing w:after="0" w:line="240"/>
      </w:pPr>
      <w:r>
        <w:rPr>
          <w:rFonts w:ascii="Times New Roman" w:cs="Times New Roman" w:eastAsia="Times New Roman" w:hAnsi="Times New Roman"/>
          <w:sz w:val="24"/>
          <w:szCs w:val="24"/>
        </w:rPr>
        <w:t xml:space="preserve">COUNTY OF NEW YORK</w:t>
      </w:r>
    </w:p>
    <w:p>
      <w:pPr>
        <w:pBdr>
          <w:bottom w:val="single" w:color="000000" w:sz="6" w:space="1"/>
        </w:pBdr>
        <w:spacing w:after="60" w:before="6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In the Matter of the Application of</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b/>
          <w:bCs/>
          <w:sz w:val="24"/>
          <w:szCs w:val="24"/>
        </w:rPr>
        <w:t xml:space="preserve">JIMMY Y. HU,</w:t>
      </w:r>
    </w:p>
    <w:p>
      <w:pPr>
        <w:spacing w:after="0" w:line="240"/>
        <w:ind w:right="2160"/>
        <w:jc w:val="right"/>
      </w:pPr>
      <w:r>
        <w:rPr>
          <w:rFonts w:ascii="Times New Roman" w:cs="Times New Roman" w:eastAsia="Times New Roman" w:hAnsi="Times New Roman"/>
          <w:sz w:val="24"/>
          <w:szCs w:val="24"/>
        </w:rPr>
        <w:t xml:space="preserve">Petitioner,</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For a Judgment Pursuant to Article 75 of the</w:t>
      </w:r>
    </w:p>
    <w:p>
      <w:pPr>
        <w:spacing w:after="0" w:line="240"/>
      </w:pPr>
      <w:r>
        <w:rPr>
          <w:rFonts w:ascii="Times New Roman" w:cs="Times New Roman" w:eastAsia="Times New Roman" w:hAnsi="Times New Roman"/>
          <w:sz w:val="24"/>
          <w:szCs w:val="24"/>
        </w:rPr>
        <w:t xml:space="preserve">Civil Practice Law and Rules Vacating an</w:t>
      </w:r>
    </w:p>
    <w:p>
      <w:pPr>
        <w:spacing w:after="0" w:line="240"/>
      </w:pPr>
      <w:r>
        <w:rPr>
          <w:rFonts w:ascii="Times New Roman" w:cs="Times New Roman" w:eastAsia="Times New Roman" w:hAnsi="Times New Roman"/>
          <w:sz w:val="24"/>
          <w:szCs w:val="24"/>
        </w:rPr>
        <w:t xml:space="preserve">Arbitration Award,</w:t>
      </w:r>
    </w:p>
    <w:p>
      <w:pPr>
        <w:spacing w:after="0" w:line="240"/>
      </w:pPr>
      <w:r>
        <w:rPr>
          <w:rFonts w:ascii="Times New Roman" w:cs="Times New Roman" w:eastAsia="Times New Roman" w:hAnsi="Times New Roman"/>
          <w:sz w:val="24"/>
          <w:szCs w:val="24"/>
        </w:rPr>
        <w:t xml:space="preserve"/>
      </w:r>
    </w:p>
    <w:p>
      <w:pPr>
        <w:spacing w:after="0" w:line="240"/>
        <w:jc w:val="center"/>
      </w:pPr>
      <w:r>
        <w:rPr>
          <w:rFonts w:ascii="Times New Roman" w:cs="Times New Roman" w:eastAsia="Times New Roman" w:hAnsi="Times New Roman"/>
          <w:sz w:val="24"/>
          <w:szCs w:val="24"/>
        </w:rPr>
        <w:t xml:space="preserve">-against-</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b/>
          <w:bCs/>
          <w:sz w:val="24"/>
          <w:szCs w:val="24"/>
        </w:rPr>
        <w:t xml:space="preserve">HYUNDAI MOTOR AMERICA,</w:t>
      </w:r>
    </w:p>
    <w:p>
      <w:pPr>
        <w:spacing w:after="0" w:line="240"/>
        <w:ind w:right="2160"/>
        <w:jc w:val="right"/>
      </w:pPr>
      <w:r>
        <w:rPr>
          <w:rFonts w:ascii="Times New Roman" w:cs="Times New Roman" w:eastAsia="Times New Roman" w:hAnsi="Times New Roman"/>
          <w:sz w:val="24"/>
          <w:szCs w:val="24"/>
        </w:rPr>
        <w:t xml:space="preserve">Respondent.</w:t>
      </w:r>
    </w:p>
    <w:p>
      <w:pPr>
        <w:pBdr>
          <w:bottom w:val="single" w:color="000000" w:sz="6" w:space="1"/>
        </w:pBdr>
        <w:spacing w:after="60" w:before="6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jc w:val="right"/>
      </w:pPr>
      <w:r>
        <w:rPr>
          <w:rFonts w:ascii="Times New Roman" w:cs="Times New Roman" w:eastAsia="Times New Roman" w:hAnsi="Times New Roman"/>
          <w:sz w:val="24"/>
          <w:szCs w:val="24"/>
        </w:rPr>
        <w:t xml:space="preserve">Index No. ________________</w:t>
      </w:r>
    </w:p>
    <w:p>
      <w:pPr>
        <w:spacing w:after="0" w:line="240"/>
        <w:jc w:val="right"/>
      </w:pPr>
      <w:r>
        <w:rPr>
          <w:rFonts w:ascii="Times New Roman" w:cs="Times New Roman" w:eastAsia="Times New Roman" w:hAnsi="Times New Roman"/>
          <w:sz w:val="24"/>
          <w:szCs w:val="24"/>
        </w:rPr>
        <w:t xml:space="preserve">AG Case No. NC-1-1249605441</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jc w:val="center"/>
      </w:pPr>
      <w:r>
        <w:rPr>
          <w:rFonts w:ascii="Times New Roman" w:cs="Times New Roman" w:eastAsia="Times New Roman" w:hAnsi="Times New Roman"/>
          <w:b/>
          <w:bCs/>
          <w:sz w:val="24"/>
          <w:szCs w:val="24"/>
        </w:rPr>
        <w:t xml:space="preserve">MEMORANDUM OF LAW IN SUPPORT OF</w:t>
      </w:r>
    </w:p>
    <w:p>
      <w:pPr>
        <w:spacing w:after="0" w:line="240"/>
        <w:jc w:val="center"/>
      </w:pPr>
      <w:r>
        <w:rPr>
          <w:rFonts w:ascii="Times New Roman" w:cs="Times New Roman" w:eastAsia="Times New Roman" w:hAnsi="Times New Roman"/>
          <w:b/>
          <w:bCs/>
          <w:sz w:val="24"/>
          <w:szCs w:val="24"/>
        </w:rPr>
        <w:t xml:space="preserve">PETITION TO VACATE ARBITRATION AWARD</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jc w:val="center"/>
      </w:pPr>
      <w:r>
        <w:rPr>
          <w:rFonts w:ascii="Times New Roman" w:cs="Times New Roman" w:eastAsia="Times New Roman" w:hAnsi="Times New Roman"/>
          <w:b/>
          <w:bCs/>
          <w:sz w:val="24"/>
          <w:szCs w:val="24"/>
        </w:rPr>
        <w:t xml:space="preserve">DRAFT — FOR ATTORNEY REVIEW</w:t>
      </w:r>
      <w:r>
        <w:rPr>
          <w:rStyle w:val="FootnoteReference"/>
        </w:rPr>
        <w:footnoteReference w:id="3"/>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jc w:val="right"/>
      </w:pPr>
      <w:r>
        <w:rPr>
          <w:rFonts w:ascii="Times New Roman" w:cs="Times New Roman" w:eastAsia="Times New Roman" w:hAnsi="Times New Roman"/>
          <w:sz w:val="24"/>
          <w:szCs w:val="24"/>
        </w:rPr>
        <w:t xml:space="preserve">Jimmy Y. Hu</w:t>
      </w:r>
    </w:p>
    <w:p>
      <w:pPr>
        <w:spacing w:after="0" w:line="240"/>
        <w:jc w:val="right"/>
      </w:pPr>
      <w:r>
        <w:rPr>
          <w:rFonts w:ascii="Times New Roman" w:cs="Times New Roman" w:eastAsia="Times New Roman" w:hAnsi="Times New Roman"/>
          <w:i/>
          <w:iCs/>
          <w:sz w:val="24"/>
          <w:szCs w:val="24"/>
        </w:rPr>
        <w:t xml:space="preserve">Petitioner, pro se</w:t>
      </w:r>
    </w:p>
    <w:p>
      <w:r>
        <w:br/>
      </w:r>
    </w:p>
    <w:p>
      <w:pPr>
        <w:keepNext/>
        <w:spacing w:after="280" w:before="400" w:line="240"/>
        <w:jc w:val="center"/>
      </w:pPr>
      <w:r>
        <w:rPr>
          <w:rFonts w:ascii="Times New Roman" w:cs="Times New Roman" w:eastAsia="Times New Roman" w:hAnsi="Times New Roman"/>
          <w:b/>
          <w:bCs/>
          <w:sz w:val="24"/>
          <w:szCs w:val="24"/>
        </w:rPr>
        <w:t xml:space="preserve">PRELIMINARY STATEMENT</w:t>
      </w:r>
    </w:p>
    <w:p>
      <w:pPr>
        <w:spacing w:after="0" w:line="480"/>
        <w:ind w:firstLine="720"/>
        <w:jc w:val="both"/>
      </w:pPr>
      <w:r>
        <w:rPr>
          <w:rFonts w:ascii="Times New Roman" w:cs="Times New Roman" w:eastAsia="Times New Roman" w:hAnsi="Times New Roman"/>
          <w:sz w:val="24"/>
          <w:szCs w:val="24"/>
        </w:rPr>
        <w:t xml:space="preserve">This proceeding arises under New York’s New Car Lemon Law, General Business Law § 198-a, and seeks vacatur of a compulsory arbitration award that denied Petitioner’s claim on a ground the record before the arbitrator affirmatively refutes.</w:t>
      </w:r>
    </w:p>
    <w:p>
      <w:pPr>
        <w:spacing w:after="0" w:line="480"/>
        <w:ind w:firstLine="720"/>
        <w:jc w:val="both"/>
      </w:pPr>
      <w:r>
        <w:rPr>
          <w:rFonts w:ascii="Times New Roman" w:cs="Times New Roman" w:eastAsia="Times New Roman" w:hAnsi="Times New Roman"/>
          <w:sz w:val="24"/>
          <w:szCs w:val="24"/>
        </w:rPr>
        <w:t xml:space="preserve">Petitioner leased a new 2024 Hyundai IONIQ 5 SEL AWD. Within its first year of service, </w:t>
      </w:r>
      <w:r>
        <w:rPr>
          <w:rFonts w:ascii="Times New Roman" w:cs="Times New Roman" w:eastAsia="Times New Roman" w:hAnsi="Times New Roman"/>
          <w:b/>
          <w:bCs/>
          <w:sz w:val="24"/>
          <w:szCs w:val="24"/>
        </w:rPr>
        <w:t xml:space="preserve">its complete high-voltage battery pack required replacement under warranty, and the same underlying electrical defect later recurred and left the vehicle dead again</w:t>
      </w:r>
      <w:r>
        <w:rPr>
          <w:rFonts w:ascii="Times New Roman" w:cs="Times New Roman" w:eastAsia="Times New Roman" w:hAnsi="Times New Roman"/>
          <w:sz w:val="24"/>
          <w:szCs w:val="24"/>
        </w:rPr>
        <w:t xml:space="preserve">. On a single repair order — Repair Order #358530, generated and maintained by Respondent’s own authorized dealer — the vehicle sat out of service, marked </w:t>
      </w:r>
      <w:r>
        <w:rPr>
          <w:rFonts w:ascii="Times New Roman" w:cs="Times New Roman" w:eastAsia="Times New Roman" w:hAnsi="Times New Roman"/>
          <w:i/>
          <w:iCs/>
          <w:sz w:val="24"/>
          <w:szCs w:val="24"/>
        </w:rPr>
        <w:t xml:space="preserve">“VEH. DISABLED,”</w:t>
      </w:r>
      <w:r>
        <w:rPr>
          <w:rFonts w:ascii="Times New Roman" w:cs="Times New Roman" w:eastAsia="Times New Roman" w:hAnsi="Times New Roman"/>
          <w:sz w:val="24"/>
          <w:szCs w:val="24"/>
        </w:rPr>
        <w:t xml:space="preserve"> for </w:t>
      </w:r>
      <w:r>
        <w:rPr>
          <w:rFonts w:ascii="Times New Roman" w:cs="Times New Roman" w:eastAsia="Times New Roman" w:hAnsi="Times New Roman"/>
          <w:b/>
          <w:bCs/>
          <w:sz w:val="24"/>
          <w:szCs w:val="24"/>
        </w:rPr>
        <w:t xml:space="preserve">124 consecutive calendar days</w:t>
      </w:r>
      <w:r>
        <w:rPr>
          <w:rFonts w:ascii="Times New Roman" w:cs="Times New Roman" w:eastAsia="Times New Roman" w:hAnsi="Times New Roman"/>
          <w:sz w:val="24"/>
          <w:szCs w:val="24"/>
        </w:rPr>
        <w:t xml:space="preserve">, from April 3, 2025 to August 5, 2025. Its odometer advanced three miles across that entire span. One hundred twenty-four days is </w:t>
      </w:r>
      <w:r>
        <w:rPr>
          <w:rFonts w:ascii="Times New Roman" w:cs="Times New Roman" w:eastAsia="Times New Roman" w:hAnsi="Times New Roman"/>
          <w:b/>
          <w:bCs/>
          <w:sz w:val="24"/>
          <w:szCs w:val="24"/>
        </w:rPr>
        <w:t xml:space="preserve">4.1 times</w:t>
      </w:r>
      <w:r>
        <w:rPr>
          <w:rFonts w:ascii="Times New Roman" w:cs="Times New Roman" w:eastAsia="Times New Roman" w:hAnsi="Times New Roman"/>
          <w:sz w:val="24"/>
          <w:szCs w:val="24"/>
        </w:rPr>
        <w:t xml:space="preserve"> the thirty-day threshold that General Business Law § 198-a (d) (2) fixes as a matter of law.</w:t>
      </w:r>
    </w:p>
    <w:p>
      <w:pPr>
        <w:spacing w:after="0" w:line="480"/>
        <w:ind w:firstLine="720"/>
        <w:jc w:val="both"/>
      </w:pPr>
      <w:r>
        <w:rPr>
          <w:rFonts w:ascii="Times New Roman" w:cs="Times New Roman" w:eastAsia="Times New Roman" w:hAnsi="Times New Roman"/>
          <w:sz w:val="24"/>
          <w:szCs w:val="24"/>
        </w:rPr>
        <w:t xml:space="preserve">The arbitrator nevertheless found that the vehicle had not been out of service for thirty days or more, and denied the claim in a single dispositive sentence:</w:t>
      </w:r>
    </w:p>
    <w:p>
      <w:pPr>
        <w:spacing w:after="240" w:before="240" w:line="240"/>
        <w:ind w:left="1440" w:right="1440"/>
        <w:jc w:val="left"/>
      </w:pPr>
      <w:r>
        <w:rPr>
          <w:rFonts w:ascii="Times New Roman" w:cs="Times New Roman" w:eastAsia="Times New Roman" w:hAnsi="Times New Roman"/>
          <w:i/>
          <w:iCs/>
          <w:sz w:val="24"/>
          <w:szCs w:val="24"/>
        </w:rPr>
        <w:t xml:space="preserve">“Based on testimony that the vehicle is currently operating and no allegation that the use and value is impaired, the consumer has not met his burden of proof.”</w:t>
      </w:r>
    </w:p>
    <w:p>
      <w:pPr>
        <w:spacing w:after="0" w:line="480"/>
        <w:ind w:firstLine="720"/>
        <w:jc w:val="both"/>
      </w:pPr>
      <w:r>
        <w:rPr>
          <w:rFonts w:ascii="Times New Roman" w:cs="Times New Roman" w:eastAsia="Times New Roman" w:hAnsi="Times New Roman"/>
          <w:sz w:val="24"/>
          <w:szCs w:val="24"/>
        </w:rPr>
        <w:t xml:space="preserve">That sentence contains two independent errors, each sufficient on its own to require vacatur.</w:t>
      </w:r>
    </w:p>
    <w:p>
      <w:pPr>
        <w:spacing w:after="0" w:line="480"/>
        <w:ind w:firstLine="720"/>
        <w:jc w:val="both"/>
      </w:pPr>
      <w:r>
        <w:rPr>
          <w:rFonts w:ascii="Times New Roman" w:cs="Times New Roman" w:eastAsia="Times New Roman" w:hAnsi="Times New Roman"/>
          <w:b/>
          <w:bCs/>
          <w:sz w:val="24"/>
          <w:szCs w:val="24"/>
        </w:rPr>
        <w:t xml:space="preserve">First</w:t>
      </w:r>
      <w:r>
        <w:rPr>
          <w:rFonts w:ascii="Times New Roman" w:cs="Times New Roman" w:eastAsia="Times New Roman" w:hAnsi="Times New Roman"/>
          <w:sz w:val="24"/>
          <w:szCs w:val="24"/>
        </w:rPr>
        <w:t xml:space="preserve">, the assertion that there was </w:t>
      </w:r>
      <w:r>
        <w:rPr>
          <w:rFonts w:ascii="Times New Roman" w:cs="Times New Roman" w:eastAsia="Times New Roman" w:hAnsi="Times New Roman"/>
          <w:i/>
          <w:iCs/>
          <w:sz w:val="24"/>
          <w:szCs w:val="24"/>
        </w:rPr>
        <w:t xml:space="preserve">“no allegation that the use and value is impaired”</w:t>
      </w:r>
      <w:r>
        <w:rPr>
          <w:rFonts w:ascii="Times New Roman" w:cs="Times New Roman" w:eastAsia="Times New Roman" w:hAnsi="Times New Roman"/>
          <w:sz w:val="24"/>
          <w:szCs w:val="24"/>
        </w:rPr>
        <w:t xml:space="preserve"> is contradicted by the arbitrator’s own summary of Petitioner’s case, set out in the very same paragraph of the same award. That summary recites the vehicle’s prolonged unavailability, Petitioner’s out-of-pocket transportation costs, and his being stranded when the vehicle failed to start in February 2026. A finding that a party made “no allegation” is not a credibility determination entitled to deference; it is an assertion about what the record contains. Where the award itself demonstrates that the assertion is false, the award is not “supported by adequate evidence in the record.” It is refuted by it.</w:t>
      </w:r>
    </w:p>
    <w:p>
      <w:pPr>
        <w:spacing w:after="0" w:line="480"/>
        <w:ind w:firstLine="720"/>
        <w:jc w:val="both"/>
      </w:pPr>
      <w:r>
        <w:rPr>
          <w:rFonts w:ascii="Times New Roman" w:cs="Times New Roman" w:eastAsia="Times New Roman" w:hAnsi="Times New Roman"/>
          <w:b/>
          <w:bCs/>
          <w:sz w:val="24"/>
          <w:szCs w:val="24"/>
        </w:rPr>
        <w:t xml:space="preserve">Second</w:t>
      </w:r>
      <w:r>
        <w:rPr>
          <w:rFonts w:ascii="Times New Roman" w:cs="Times New Roman" w:eastAsia="Times New Roman" w:hAnsi="Times New Roman"/>
          <w:sz w:val="24"/>
          <w:szCs w:val="24"/>
        </w:rPr>
        <w:t xml:space="preserve">, the arbitrator rested her ruling on “testimony that the vehicle is </w:t>
      </w:r>
      <w:r>
        <w:rPr>
          <w:rFonts w:ascii="Times New Roman" w:cs="Times New Roman" w:eastAsia="Times New Roman" w:hAnsi="Times New Roman"/>
          <w:i/>
          <w:iCs/>
          <w:sz w:val="24"/>
          <w:szCs w:val="24"/>
        </w:rPr>
        <w:t xml:space="preserve">currently operating</w:t>
      </w:r>
      <w:r>
        <w:rPr>
          <w:rFonts w:ascii="Times New Roman" w:cs="Times New Roman" w:eastAsia="Times New Roman" w:hAnsi="Times New Roman"/>
          <w:sz w:val="24"/>
          <w:szCs w:val="24"/>
        </w:rPr>
        <w:t xml:space="preserve">.” That is not the statutory test. The Court of Appeals expressly repudiated the condition-at-hearing standard in </w:t>
      </w:r>
      <w:r>
        <w:rPr>
          <w:rFonts w:ascii="Times New Roman" w:cs="Times New Roman" w:eastAsia="Times New Roman" w:hAnsi="Times New Roman"/>
          <w:i/>
          <w:iCs/>
          <w:sz w:val="24"/>
          <w:szCs w:val="24"/>
        </w:rPr>
        <w:t xml:space="preserve">Matter of DaimlerChrysler Corp. v Spitzer</w:t>
      </w:r>
      <w:r>
        <w:rPr>
          <w:rFonts w:ascii="Times New Roman" w:cs="Times New Roman" w:eastAsia="Times New Roman" w:hAnsi="Times New Roman"/>
          <w:sz w:val="24"/>
          <w:szCs w:val="24"/>
        </w:rPr>
        <w:t xml:space="preserve">, 7 NY3d 653 (2006). And the thirty-day prong of section 198-a (d) (2) contains no “continues to exist” element whatsoever. Once a vehicle has been out of service by reason of repair for thirty days within the statutory period, the condition is satisfied. It cannot be un-satisfied by a later repair. Were the rule otherwise, a manufacturer could defeat every Lemon Law claim in the State simply by repairing the vehicle on the eve of the hearing.</w:t>
      </w:r>
    </w:p>
    <w:p>
      <w:pPr>
        <w:spacing w:after="0" w:line="480"/>
        <w:ind w:firstLine="720"/>
        <w:jc w:val="both"/>
      </w:pPr>
      <w:r>
        <w:rPr>
          <w:rFonts w:ascii="Times New Roman" w:cs="Times New Roman" w:eastAsia="Times New Roman" w:hAnsi="Times New Roman"/>
          <w:sz w:val="24"/>
          <w:szCs w:val="24"/>
        </w:rPr>
        <w:t xml:space="preserve">Because this arbitration was </w:t>
      </w:r>
      <w:r>
        <w:rPr>
          <w:rFonts w:ascii="Times New Roman" w:cs="Times New Roman" w:eastAsia="Times New Roman" w:hAnsi="Times New Roman"/>
          <w:b/>
          <w:bCs/>
          <w:sz w:val="24"/>
          <w:szCs w:val="24"/>
        </w:rPr>
        <w:t xml:space="preserve">compulsory</w:t>
      </w:r>
      <w:r>
        <w:rPr>
          <w:rFonts w:ascii="Times New Roman" w:cs="Times New Roman" w:eastAsia="Times New Roman" w:hAnsi="Times New Roman"/>
          <w:sz w:val="24"/>
          <w:szCs w:val="24"/>
        </w:rPr>
        <w:t xml:space="preserve"> — Respondent was required to submit to it once Petitioner elected it under General Business Law § 198-a (k) — judicial review under CPLR Article 75 is </w:t>
      </w:r>
      <w:r>
        <w:rPr>
          <w:rFonts w:ascii="Times New Roman" w:cs="Times New Roman" w:eastAsia="Times New Roman" w:hAnsi="Times New Roman"/>
          <w:b/>
          <w:bCs/>
          <w:sz w:val="24"/>
          <w:szCs w:val="24"/>
        </w:rPr>
        <w:t xml:space="preserve">broad</w:t>
      </w:r>
      <w:r>
        <w:rPr>
          <w:rFonts w:ascii="Times New Roman" w:cs="Times New Roman" w:eastAsia="Times New Roman" w:hAnsi="Times New Roman"/>
          <w:sz w:val="24"/>
          <w:szCs w:val="24"/>
        </w:rPr>
        <w:t xml:space="preserve">, not the narrow review afforded consensual arbitration. The award must accord with due process, be supported by adequate evidence in the record, and be rational and not arbitrary and capricious. This award satisfies none of those requirements. It should be vacated.</w:t>
      </w:r>
    </w:p>
    <w:p>
      <w:r>
        <w:br/>
      </w:r>
    </w:p>
    <w:p>
      <w:pPr>
        <w:keepNext/>
        <w:spacing w:after="280" w:before="400" w:line="240"/>
        <w:jc w:val="center"/>
      </w:pPr>
      <w:r>
        <w:rPr>
          <w:rFonts w:ascii="Times New Roman" w:cs="Times New Roman" w:eastAsia="Times New Roman" w:hAnsi="Times New Roman"/>
          <w:b/>
          <w:bCs/>
          <w:sz w:val="24"/>
          <w:szCs w:val="24"/>
        </w:rPr>
        <w:t xml:space="preserve">STATEMENT OF FACTS</w:t>
      </w:r>
    </w:p>
    <w:p>
      <w:pPr>
        <w:keepNext/>
        <w:spacing w:after="160" w:before="280" w:line="240"/>
        <w:ind w:left="720"/>
        <w:jc w:val="left"/>
      </w:pPr>
      <w:r>
        <w:rPr>
          <w:rFonts w:ascii="Times New Roman" w:cs="Times New Roman" w:eastAsia="Times New Roman" w:hAnsi="Times New Roman"/>
          <w:b/>
          <w:bCs/>
          <w:sz w:val="24"/>
          <w:szCs w:val="24"/>
        </w:rPr>
        <w:t xml:space="preserve">A. The Vehicle and the Lease</w:t>
      </w:r>
    </w:p>
    <w:p>
      <w:pPr>
        <w:spacing w:after="0" w:line="480"/>
        <w:ind w:firstLine="720"/>
        <w:jc w:val="both"/>
      </w:pPr>
      <w:r>
        <w:rPr>
          <w:rFonts w:ascii="Times New Roman" w:cs="Times New Roman" w:eastAsia="Times New Roman" w:hAnsi="Times New Roman"/>
          <w:sz w:val="24"/>
          <w:szCs w:val="24"/>
        </w:rPr>
        <w:t xml:space="preserve">On </w:t>
      </w:r>
      <w:r>
        <w:rPr>
          <w:rFonts w:ascii="Times New Roman" w:cs="Times New Roman" w:eastAsia="Times New Roman" w:hAnsi="Times New Roman"/>
          <w:b/>
          <w:bCs/>
          <w:sz w:val="24"/>
          <w:szCs w:val="24"/>
        </w:rPr>
        <w:t xml:space="preserve">May 23, 2024</w:t>
      </w:r>
      <w:r>
        <w:rPr>
          <w:rFonts w:ascii="Times New Roman" w:cs="Times New Roman" w:eastAsia="Times New Roman" w:hAnsi="Times New Roman"/>
          <w:sz w:val="24"/>
          <w:szCs w:val="24"/>
        </w:rPr>
        <w:t xml:space="preserve">, Petitioner leased a new 2024 Hyundai IONIQ 5 SEL AWD, VIN KM8KNDDF9RU253237, from Koeppel Hyundai in Long Island City, New York. The vehicle was delivered with 40 miles on the odometer. The agreed cash price was $53,360.77; the gross capitalized cost was $54,597.70; the monthly payment was $314.00; and Petitioner made a $2,953.00 capitalized cost reduction at signing. The vehicle was leased for personal use and registered in New York State. It is a “motor vehicle” and Petitioner is a “consumer” within the meaning of General Business Law § 198-a (a).</w:t>
      </w:r>
    </w:p>
    <w:p>
      <w:pPr>
        <w:spacing w:after="0" w:line="480"/>
        <w:ind w:firstLine="720"/>
        <w:jc w:val="both"/>
      </w:pPr>
      <w:r>
        <w:rPr>
          <w:rFonts w:ascii="Times New Roman" w:cs="Times New Roman" w:eastAsia="Times New Roman" w:hAnsi="Times New Roman"/>
          <w:sz w:val="24"/>
          <w:szCs w:val="24"/>
        </w:rPr>
        <w:t xml:space="preserve">Warranty service was performed at Hyundai of Paramus, 234 Route 4 East, Paramus, New Jersey, an authorized Hyundai dealer. Section 198-a (b) (1) obligates the manufacturer to make repairs conforming the vehicle to its express warranties “[i]f [the] motor vehicle does not conform to all express warranties during the first eighteen thousand miles of operation or during the period of two years following the date of original delivery.” Every event described below occurred well within both limits.</w:t>
      </w:r>
    </w:p>
    <w:p>
      <w:pPr>
        <w:keepNext/>
        <w:spacing w:after="160" w:before="280" w:line="240"/>
        <w:ind w:left="720"/>
        <w:jc w:val="left"/>
      </w:pPr>
      <w:r>
        <w:rPr>
          <w:rFonts w:ascii="Times New Roman" w:cs="Times New Roman" w:eastAsia="Times New Roman" w:hAnsi="Times New Roman"/>
          <w:b/>
          <w:bCs/>
          <w:sz w:val="24"/>
          <w:szCs w:val="24"/>
        </w:rPr>
        <w:t xml:space="preserve">B. The Nonconformity</w:t>
      </w:r>
    </w:p>
    <w:p>
      <w:pPr>
        <w:spacing w:after="0" w:line="480"/>
        <w:ind w:firstLine="720"/>
        <w:jc w:val="both"/>
      </w:pPr>
      <w:r>
        <w:rPr>
          <w:rFonts w:ascii="Times New Roman" w:cs="Times New Roman" w:eastAsia="Times New Roman" w:hAnsi="Times New Roman"/>
          <w:sz w:val="24"/>
          <w:szCs w:val="24"/>
        </w:rPr>
        <w:t xml:space="preserve">The vehicle suffered a recurring defect in its high-voltage battery system, manifesting in diagnostic trouble codes </w:t>
      </w:r>
      <w:r>
        <w:rPr>
          <w:rFonts w:ascii="Times New Roman" w:cs="Times New Roman" w:eastAsia="Times New Roman" w:hAnsi="Times New Roman"/>
          <w:b/>
          <w:bCs/>
          <w:sz w:val="24"/>
          <w:szCs w:val="24"/>
        </w:rPr>
        <w:t xml:space="preserve">P1BAD92</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C110213</w:t>
      </w:r>
      <w:r>
        <w:rPr>
          <w:rFonts w:ascii="Times New Roman" w:cs="Times New Roman" w:eastAsia="Times New Roman" w:hAnsi="Times New Roman"/>
          <w:sz w:val="24"/>
          <w:szCs w:val="24"/>
        </w:rPr>
        <w:t xml:space="preserve">. Petitioner first reported a nonconformity on </w:t>
      </w:r>
      <w:r>
        <w:rPr>
          <w:rFonts w:ascii="Times New Roman" w:cs="Times New Roman" w:eastAsia="Times New Roman" w:hAnsi="Times New Roman"/>
          <w:b/>
          <w:bCs/>
          <w:sz w:val="24"/>
          <w:szCs w:val="24"/>
        </w:rPr>
        <w:t xml:space="preserve">February 12, 2025</w:t>
      </w:r>
      <w:r>
        <w:rPr>
          <w:rFonts w:ascii="Times New Roman" w:cs="Times New Roman" w:eastAsia="Times New Roman" w:hAnsi="Times New Roman"/>
          <w:sz w:val="24"/>
          <w:szCs w:val="24"/>
        </w:rPr>
        <w:t xml:space="preserve">, at </w:t>
      </w:r>
      <w:r>
        <w:rPr>
          <w:rFonts w:ascii="Times New Roman" w:cs="Times New Roman" w:eastAsia="Times New Roman" w:hAnsi="Times New Roman"/>
          <w:b/>
          <w:bCs/>
          <w:sz w:val="24"/>
          <w:szCs w:val="24"/>
        </w:rPr>
        <w:t xml:space="preserve">7,026 miles</w:t>
      </w:r>
      <w:r>
        <w:rPr>
          <w:rFonts w:ascii="Times New Roman" w:cs="Times New Roman" w:eastAsia="Times New Roman" w:hAnsi="Times New Roman"/>
          <w:sz w:val="24"/>
          <w:szCs w:val="24"/>
        </w:rPr>
        <w:t xml:space="preserve">, under Repair Order #356398, which also addressed Recall 272 (ICCU software). The 7,026-mile figure is significant: it is the odometer reading at the first report of the nonconformity, and it is the figure from which any statutory mileage deduction must be computed. </w:t>
      </w:r>
      <w:r>
        <w:rPr>
          <w:rFonts w:ascii="Times New Roman" w:cs="Times New Roman" w:eastAsia="Times New Roman" w:hAnsi="Times New Roman"/>
          <w:i/>
          <w:iCs/>
          <w:sz w:val="24"/>
          <w:szCs w:val="24"/>
        </w:rPr>
        <w:t xml:space="preserve">See</w:t>
      </w:r>
      <w:r>
        <w:rPr>
          <w:rFonts w:ascii="Times New Roman" w:cs="Times New Roman" w:eastAsia="Times New Roman" w:hAnsi="Times New Roman"/>
          <w:sz w:val="24"/>
          <w:szCs w:val="24"/>
        </w:rPr>
        <w:t xml:space="preserve"> GBL § 198-a (c) (1).</w:t>
      </w:r>
    </w:p>
    <w:p>
      <w:pPr>
        <w:spacing w:after="0" w:line="480"/>
        <w:ind w:firstLine="720"/>
        <w:jc w:val="both"/>
      </w:pPr>
      <w:r>
        <w:rPr>
          <w:rFonts w:ascii="Times New Roman" w:cs="Times New Roman" w:eastAsia="Times New Roman" w:hAnsi="Times New Roman"/>
          <w:sz w:val="24"/>
          <w:szCs w:val="24"/>
        </w:rPr>
        <w:t xml:space="preserve">The defect was not cured. The vehicle ultimately required </w:t>
      </w:r>
      <w:r>
        <w:rPr>
          <w:rFonts w:ascii="Times New Roman" w:cs="Times New Roman" w:eastAsia="Times New Roman" w:hAnsi="Times New Roman"/>
          <w:b/>
          <w:bCs/>
          <w:sz w:val="24"/>
          <w:szCs w:val="24"/>
        </w:rPr>
        <w:t xml:space="preserve">a complete replacement of its high-voltage battery system assembly</w:t>
      </w:r>
      <w:r>
        <w:rPr>
          <w:rFonts w:ascii="Times New Roman" w:cs="Times New Roman" w:eastAsia="Times New Roman" w:hAnsi="Times New Roman"/>
          <w:sz w:val="24"/>
          <w:szCs w:val="24"/>
        </w:rPr>
        <w:t xml:space="preserve">, performed under warranty at Respondent’s expense at a recorded cost of $17,483.69 — an implicit but unambiguous concession that the vehicle did not conform to Respondent’s express warranty.</w:t>
      </w:r>
    </w:p>
    <w:p>
      <w:pPr>
        <w:keepNext/>
        <w:spacing w:after="160" w:before="280" w:line="240"/>
        <w:ind w:left="720"/>
        <w:jc w:val="left"/>
      </w:pPr>
      <w:r>
        <w:rPr>
          <w:rFonts w:ascii="Times New Roman" w:cs="Times New Roman" w:eastAsia="Times New Roman" w:hAnsi="Times New Roman"/>
          <w:b/>
          <w:bCs/>
          <w:sz w:val="24"/>
          <w:szCs w:val="24"/>
        </w:rPr>
        <w:t xml:space="preserve">C. The 124-Day Out-of-Service Period (Repair Order #358530)</w:t>
      </w:r>
    </w:p>
    <w:p>
      <w:pPr>
        <w:spacing w:after="0" w:line="480"/>
        <w:ind w:firstLine="720"/>
        <w:jc w:val="both"/>
      </w:pPr>
      <w:r>
        <w:rPr>
          <w:rFonts w:ascii="Times New Roman" w:cs="Times New Roman" w:eastAsia="Times New Roman" w:hAnsi="Times New Roman"/>
          <w:sz w:val="24"/>
          <w:szCs w:val="24"/>
        </w:rPr>
        <w:t xml:space="preserve">The operative fact in this proceeding is not in dispute, because it comes from Respondent’s own records. On </w:t>
      </w:r>
      <w:r>
        <w:rPr>
          <w:rFonts w:ascii="Times New Roman" w:cs="Times New Roman" w:eastAsia="Times New Roman" w:hAnsi="Times New Roman"/>
          <w:b/>
          <w:bCs/>
          <w:sz w:val="24"/>
          <w:szCs w:val="24"/>
        </w:rPr>
        <w:t xml:space="preserve">April 3, 2025</w:t>
      </w:r>
      <w:r>
        <w:rPr>
          <w:rFonts w:ascii="Times New Roman" w:cs="Times New Roman" w:eastAsia="Times New Roman" w:hAnsi="Times New Roman"/>
          <w:sz w:val="24"/>
          <w:szCs w:val="24"/>
        </w:rPr>
        <w:t xml:space="preserve">, Petitioner surrendered the vehicle to the dealer for repair under </w:t>
      </w:r>
      <w:r>
        <w:rPr>
          <w:rFonts w:ascii="Times New Roman" w:cs="Times New Roman" w:eastAsia="Times New Roman" w:hAnsi="Times New Roman"/>
          <w:b/>
          <w:bCs/>
          <w:sz w:val="24"/>
          <w:szCs w:val="24"/>
        </w:rPr>
        <w:t xml:space="preserve">Repair Order #358530</w:t>
      </w:r>
      <w:r>
        <w:rPr>
          <w:rFonts w:ascii="Times New Roman" w:cs="Times New Roman" w:eastAsia="Times New Roman" w:hAnsi="Times New Roman"/>
          <w:sz w:val="24"/>
          <w:szCs w:val="24"/>
        </w:rPr>
        <w:t xml:space="preserve">. That order bears the notation </w:t>
      </w:r>
      <w:r>
        <w:rPr>
          <w:rFonts w:ascii="Times New Roman" w:cs="Times New Roman" w:eastAsia="Times New Roman" w:hAnsi="Times New Roman"/>
          <w:i/>
          <w:iCs/>
          <w:sz w:val="24"/>
          <w:szCs w:val="24"/>
        </w:rPr>
        <w:t xml:space="preserve">“VEH. DISABLED.”</w:t>
      </w:r>
      <w:r>
        <w:rPr>
          <w:rFonts w:ascii="Times New Roman" w:cs="Times New Roman" w:eastAsia="Times New Roman" w:hAnsi="Times New Roman"/>
          <w:sz w:val="24"/>
          <w:szCs w:val="24"/>
        </w:rPr>
        <w:t xml:space="preserve"> The repair invoice closed on </w:t>
      </w:r>
      <w:r>
        <w:rPr>
          <w:rFonts w:ascii="Times New Roman" w:cs="Times New Roman" w:eastAsia="Times New Roman" w:hAnsi="Times New Roman"/>
          <w:b/>
          <w:bCs/>
          <w:sz w:val="24"/>
          <w:szCs w:val="24"/>
        </w:rPr>
        <w:t xml:space="preserve">August 5, 2025</w:t>
      </w:r>
      <w:r>
        <w:rPr>
          <w:rFonts w:ascii="Times New Roman" w:cs="Times New Roman" w:eastAsia="Times New Roman" w:hAnsi="Times New Roman"/>
          <w:sz w:val="24"/>
          <w:szCs w:val="24"/>
        </w:rPr>
        <w:t xml:space="preserve">. Petitioner recovered the vehicle on </w:t>
      </w:r>
      <w:r>
        <w:rPr>
          <w:rFonts w:ascii="Times New Roman" w:cs="Times New Roman" w:eastAsia="Times New Roman" w:hAnsi="Times New Roman"/>
          <w:b/>
          <w:bCs/>
          <w:sz w:val="24"/>
          <w:szCs w:val="24"/>
        </w:rPr>
        <w:t xml:space="preserve">August 7, 2025</w:t>
      </w:r>
      <w:r>
        <w:rPr>
          <w:rFonts w:ascii="Times New Roman" w:cs="Times New Roman" w:eastAsia="Times New Roman" w:hAnsi="Times New Roman"/>
          <w:sz w:val="24"/>
          <w:szCs w:val="24"/>
        </w:rPr>
        <w:t xml:space="preserve">. Across the entire period the odometer advanced </w:t>
      </w:r>
      <w:r>
        <w:rPr>
          <w:rFonts w:ascii="Times New Roman" w:cs="Times New Roman" w:eastAsia="Times New Roman" w:hAnsi="Times New Roman"/>
          <w:b/>
          <w:bCs/>
          <w:sz w:val="24"/>
          <w:szCs w:val="24"/>
        </w:rPr>
        <w:t xml:space="preserve">three miles</w:t>
      </w:r>
      <w:r>
        <w:rPr>
          <w:rFonts w:ascii="Times New Roman" w:cs="Times New Roman" w:eastAsia="Times New Roman" w:hAnsi="Times New Roman"/>
          <w:sz w:val="24"/>
          <w:szCs w:val="24"/>
        </w:rPr>
        <w:t xml:space="preserve"> — conclusive proof that the vehicle was not driven, not available, and not in Petitioner’s possession.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Measure</w:t>
            </w:r>
          </w:p>
        </w:tc>
        <w:tc>
          <w:tcPr>
            <w:tcW w:type="dxa" w:w="200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Days</w:t>
            </w:r>
          </w:p>
        </w:tc>
        <w:tc>
          <w:tcPr>
            <w:tcW w:type="dxa" w:w="396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Source / Basis</w:t>
            </w:r>
          </w:p>
        </w:tc>
      </w:tr>
      <w:tr>
        <w:trPr>
          <w:tblHeader w:val="false"/>
        </w:trP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April 3, 2025 → August 5, 2025 (invoice closed)</w:t>
            </w:r>
          </w:p>
        </w:tc>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124</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 #358530 — Respondent’s own record; “VEH. DISABLED”</w:t>
            </w:r>
          </w:p>
        </w:tc>
      </w:tr>
      <w:tr>
        <w:trPr>
          <w:tblHeader w:val="false"/>
        </w:trPr>
        <w:tc>
          <w:tcPr>
            <w:tcW w:type="dxa" w:w="34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April 3, 2025 → August 7, 2025 (vehicle recovered)</w:t>
            </w:r>
          </w:p>
        </w:tc>
        <w:tc>
          <w:tcPr>
            <w:tcW w:type="dxa" w:w="20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126</w:t>
            </w:r>
          </w:p>
        </w:tc>
        <w:tc>
          <w:tcPr>
            <w:tcW w:type="dxa" w:w="396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 #358530 + delivery date</w:t>
            </w:r>
          </w:p>
        </w:tc>
      </w:tr>
      <w:tr>
        <w:trPr>
          <w:tblHeader w:val="false"/>
        </w:trP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February 12, 2025 → August 7, 2025 (from first report)</w:t>
            </w:r>
          </w:p>
        </w:tc>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176</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 #356398 + RO #358530</w:t>
            </w:r>
          </w:p>
        </w:tc>
      </w:tr>
      <w:tr>
        <w:trPr>
          <w:tblHeader w:val="false"/>
        </w:trPr>
        <w:tc>
          <w:tcPr>
            <w:tcW w:type="dxa" w:w="34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Statutory threshold, GBL § 198-a (d) (2)</w:t>
            </w:r>
          </w:p>
        </w:tc>
        <w:tc>
          <w:tcPr>
            <w:tcW w:type="dxa" w:w="20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30</w:t>
            </w:r>
          </w:p>
        </w:tc>
        <w:tc>
          <w:tcPr>
            <w:tcW w:type="dxa" w:w="396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Statute</w:t>
            </w:r>
          </w:p>
        </w:tc>
      </w:tr>
    </w:tbl>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Petitioner’s records reflect out-of-service periods across four separate repair episodes totaling, in the aggregate, approximately 198 to 201 days. Petitioner does not rely on that larger figure here, and the Court need not reach it. </w:t>
      </w:r>
      <w:r>
        <w:rPr>
          <w:rFonts w:ascii="Times New Roman" w:cs="Times New Roman" w:eastAsia="Times New Roman" w:hAnsi="Times New Roman"/>
          <w:b/>
          <w:bCs/>
          <w:sz w:val="24"/>
          <w:szCs w:val="24"/>
        </w:rPr>
        <w:t xml:space="preserve">The 124-day period standing alone — documented entirely by Respondent’s own repair order — exceeds the statutory threshold by more than four times</w:t>
      </w:r>
      <w:r>
        <w:rPr>
          <w:rFonts w:ascii="Times New Roman" w:cs="Times New Roman" w:eastAsia="Times New Roman" w:hAnsi="Times New Roman"/>
          <w:sz w:val="24"/>
          <w:szCs w:val="24"/>
        </w:rPr>
        <w:t xml:space="preserve"> and independently establishes the presumption under section 198-a (d) (2).</w:t>
      </w:r>
    </w:p>
    <w:p>
      <w:pPr>
        <w:keepNext/>
        <w:spacing w:after="160" w:before="280" w:line="240"/>
        <w:ind w:left="720"/>
        <w:jc w:val="left"/>
      </w:pPr>
      <w:r>
        <w:rPr>
          <w:rFonts w:ascii="Times New Roman" w:cs="Times New Roman" w:eastAsia="Times New Roman" w:hAnsi="Times New Roman"/>
          <w:b/>
          <w:bCs/>
          <w:sz w:val="24"/>
          <w:szCs w:val="24"/>
        </w:rPr>
        <w:t xml:space="preserve">D. The February 2026 Recurrence</w:t>
      </w:r>
    </w:p>
    <w:p>
      <w:pPr>
        <w:spacing w:after="0" w:line="480"/>
        <w:ind w:firstLine="720"/>
        <w:jc w:val="both"/>
      </w:pPr>
      <w:r>
        <w:rPr>
          <w:rFonts w:ascii="Times New Roman" w:cs="Times New Roman" w:eastAsia="Times New Roman" w:hAnsi="Times New Roman"/>
          <w:sz w:val="24"/>
          <w:szCs w:val="24"/>
        </w:rPr>
        <w:t xml:space="preserve">On </w:t>
      </w:r>
      <w:r>
        <w:rPr>
          <w:rFonts w:ascii="Times New Roman" w:cs="Times New Roman" w:eastAsia="Times New Roman" w:hAnsi="Times New Roman"/>
          <w:b/>
          <w:bCs/>
          <w:sz w:val="24"/>
          <w:szCs w:val="24"/>
        </w:rPr>
        <w:t xml:space="preserve">February 18, 2026</w:t>
      </w:r>
      <w:r>
        <w:rPr>
          <w:rFonts w:ascii="Times New Roman" w:cs="Times New Roman" w:eastAsia="Times New Roman" w:hAnsi="Times New Roman"/>
          <w:sz w:val="24"/>
          <w:szCs w:val="24"/>
        </w:rPr>
        <w:t xml:space="preserve">, at </w:t>
      </w:r>
      <w:r>
        <w:rPr>
          <w:rFonts w:ascii="Times New Roman" w:cs="Times New Roman" w:eastAsia="Times New Roman" w:hAnsi="Times New Roman"/>
          <w:b/>
          <w:bCs/>
          <w:sz w:val="24"/>
          <w:szCs w:val="24"/>
        </w:rPr>
        <w:t xml:space="preserve">11,230 miles</w:t>
      </w:r>
      <w:r>
        <w:rPr>
          <w:rFonts w:ascii="Times New Roman" w:cs="Times New Roman" w:eastAsia="Times New Roman" w:hAnsi="Times New Roman"/>
          <w:sz w:val="24"/>
          <w:szCs w:val="24"/>
        </w:rPr>
        <w:t xml:space="preserve">, Respondent’s own Repair Order #370267 was opened for a vehicle that had again failed to start — stranding Petitioner, a practicing physician who relies on the vehicle to reach his medical practice locations.</w:t>
      </w:r>
      <w:r>
        <w:rPr>
          <w:rStyle w:val="FootnoteReference"/>
        </w:rPr>
        <w:footnoteReference w:id="1"/>
      </w:r>
      <w:r>
        <w:rPr>
          <w:rFonts w:ascii="Times New Roman" w:cs="Times New Roman" w:eastAsia="Times New Roman" w:hAnsi="Times New Roman"/>
          <w:sz w:val="24"/>
          <w:szCs w:val="24"/>
        </w:rPr>
        <w:t xml:space="preserve"> The technician’s own notation records that the vehicle was </w:t>
      </w:r>
      <w:r>
        <w:rPr>
          <w:rFonts w:ascii="Times New Roman" w:cs="Times New Roman" w:eastAsia="Times New Roman" w:hAnsi="Times New Roman"/>
          <w:i/>
          <w:iCs/>
          <w:sz w:val="24"/>
          <w:szCs w:val="24"/>
        </w:rPr>
        <w:t xml:space="preserve">“too dead to complete”</w:t>
      </w:r>
      <w:r>
        <w:rPr>
          <w:rFonts w:ascii="Times New Roman" w:cs="Times New Roman" w:eastAsia="Times New Roman" w:hAnsi="Times New Roman"/>
          <w:sz w:val="24"/>
          <w:szCs w:val="24"/>
        </w:rPr>
        <w:t xml:space="preserve"> diagnostic testing. The dealership completed its diagnostics, confirmed the failure to be a defect covered by Respondent’s warranty, and replaced the failed battery under warranty. This event is established by date, odometer reading, and the technician’s contemporaneous notes — each drawn from that repair order.</w:t>
      </w:r>
    </w:p>
    <w:p>
      <w:pPr>
        <w:keepNext/>
        <w:spacing w:after="160" w:before="280" w:line="240"/>
        <w:ind w:left="720"/>
        <w:jc w:val="left"/>
      </w:pPr>
      <w:r>
        <w:rPr>
          <w:rFonts w:ascii="Times New Roman" w:cs="Times New Roman" w:eastAsia="Times New Roman" w:hAnsi="Times New Roman"/>
          <w:b/>
          <w:bCs/>
          <w:sz w:val="24"/>
          <w:szCs w:val="24"/>
        </w:rPr>
        <w:t xml:space="preserve">E. Respondent’s Settlement Offers and Their Trajectory</w:t>
      </w:r>
    </w:p>
    <w:p>
      <w:pPr>
        <w:spacing w:after="0" w:line="480"/>
        <w:ind w:firstLine="720"/>
        <w:jc w:val="both"/>
      </w:pPr>
      <w:r>
        <w:rPr>
          <w:rFonts w:ascii="Times New Roman" w:cs="Times New Roman" w:eastAsia="Times New Roman" w:hAnsi="Times New Roman"/>
          <w:sz w:val="24"/>
          <w:szCs w:val="24"/>
        </w:rPr>
        <w:t xml:space="preserve">Respondent’s conduct outside the hearing room bears directly on the rationality of a finding that this vehicle never suffered a qualifying nonconformity.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rPr>
          <w:tblHeader/>
        </w:trPr>
        <w:tc>
          <w:tcPr>
            <w:tcW w:type="dxa" w:w="170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Date</w:t>
            </w:r>
          </w:p>
        </w:tc>
        <w:tc>
          <w:tcPr>
            <w:tcW w:type="dxa" w:w="240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Offer</w:t>
            </w:r>
          </w:p>
        </w:tc>
        <w:tc>
          <w:tcPr>
            <w:tcW w:type="dxa" w:w="526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Terms and Defects</w:t>
            </w:r>
          </w:p>
        </w:tc>
      </w:tr>
      <w:tr>
        <w:trPr>
          <w:tblHeader w:val="false"/>
        </w:trP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Aug. 18, 2025</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$7,977.00 repurchase</w:t>
            </w:r>
          </w:p>
        </w:tc>
        <w:tc>
          <w:tcPr>
            <w:tcW w:type="dxa" w:w="5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Two options: $4,000.00 cash with the vehicle retained, or full repurchase at $7,977.00. Mileage deduction expressly waived.</w:t>
            </w:r>
          </w:p>
        </w:tc>
      </w:tr>
      <w:tr>
        <w:trPr>
          <w:tblHeader w:val="false"/>
        </w:trPr>
        <w:tc>
          <w:tcPr>
            <w:tcW w:type="dxa" w:w="17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Jan. 29, 2026</w:t>
            </w:r>
          </w:p>
        </w:tc>
        <w:tc>
          <w:tcPr>
            <w:tcW w:type="dxa" w:w="24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$5,388.51 restitution</w:t>
            </w:r>
          </w:p>
        </w:tc>
        <w:tc>
          <w:tcPr>
            <w:tcW w:type="dxa" w:w="526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Mileage deduction of $4,326.49 computed on an 8,148-mile basis rather than the 7,026-mile reading at the first report of the nonconformity (RO #356398).</w:t>
            </w:r>
          </w:p>
        </w:tc>
      </w:tr>
      <w:tr>
        <w:trPr>
          <w:tblHeader w:val="false"/>
        </w:trP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May 11, 2026</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Position reduced to $2,500</w:t>
            </w:r>
          </w:p>
        </w:tc>
        <w:tc>
          <w:tcPr>
            <w:tcW w:type="dxa" w:w="5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January offer, stated valid for sixty days, allowed to lapse; a $2,500 figure conveyed only through Petitioner’s then-counsel, never in a writing of Respondent’s own.</w:t>
            </w:r>
          </w:p>
        </w:tc>
      </w:tr>
    </w:tbl>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Each written offer was conditioned on execution of a notarized release. The release in the record contains a broad unknown-claims waiver invoking California Civil Code § 1542 “as well as any similar law of any state or territory of the United States,” a confidentiality clause, and an </w:t>
      </w:r>
      <w:r>
        <w:rPr>
          <w:rFonts w:ascii="Times New Roman" w:cs="Times New Roman" w:eastAsia="Times New Roman" w:hAnsi="Times New Roman"/>
          <w:b/>
          <w:bCs/>
          <w:sz w:val="24"/>
          <w:szCs w:val="24"/>
        </w:rPr>
        <w:t xml:space="preserve">indemnity provision</w:t>
      </w:r>
      <w:r>
        <w:rPr>
          <w:rFonts w:ascii="Times New Roman" w:cs="Times New Roman" w:eastAsia="Times New Roman" w:hAnsi="Times New Roman"/>
          <w:sz w:val="24"/>
          <w:szCs w:val="24"/>
        </w:rPr>
        <w:t xml:space="preserve"> — in a New York transaction, governed by a New York statute, arbitrated under a program administered by the New York Attorney General.</w:t>
      </w:r>
    </w:p>
    <w:p>
      <w:pPr>
        <w:spacing w:after="0" w:line="480"/>
        <w:ind w:firstLine="720"/>
        <w:jc w:val="both"/>
      </w:pPr>
      <w:r>
        <w:rPr>
          <w:rFonts w:ascii="Times New Roman" w:cs="Times New Roman" w:eastAsia="Times New Roman" w:hAnsi="Times New Roman"/>
          <w:sz w:val="24"/>
          <w:szCs w:val="24"/>
        </w:rPr>
        <w:t xml:space="preserve">The arithmetic of the January 2026 offer is independently verifiable and independently wrong. Applying the mileage-deduction formula recited in Respondent’s own offers to the cash price of $53,360.77:</w:t>
      </w:r>
    </w:p>
    <w:p>
      <w:pPr>
        <w:spacing w:after="240" w:before="240" w:line="240"/>
        <w:ind w:left="1440" w:right="1440"/>
        <w:jc w:val="left"/>
      </w:pPr>
      <w:r>
        <w:rPr>
          <w:rFonts w:ascii="Times New Roman" w:cs="Times New Roman" w:eastAsia="Times New Roman" w:hAnsi="Times New Roman"/>
          <w:sz w:val="24"/>
          <w:szCs w:val="24"/>
        </w:rPr>
        <w:t xml:space="preserve">$53,360.77 × (8,148 − 40) ÷ 100,000 = $4,326.49  </w:t>
        <w:br/>
        <w:t xml:space="preserve">$53,360.77 × (7,026 − 40) ÷ 100,000 = $3,727.78  </w:t>
        <w:br/>
      </w:r>
      <w:r>
        <w:rPr>
          <w:rFonts w:ascii="Times New Roman" w:cs="Times New Roman" w:eastAsia="Times New Roman" w:hAnsi="Times New Roman"/>
          <w:b/>
          <w:bCs/>
          <w:sz w:val="24"/>
          <w:szCs w:val="24"/>
        </w:rPr>
        <w:t xml:space="preserve">Difference attributable to the erroneous basis: $598.71</w:t>
      </w:r>
    </w:p>
    <w:p>
      <w:pPr>
        <w:spacing w:after="0" w:line="480"/>
        <w:ind w:firstLine="720"/>
        <w:jc w:val="both"/>
      </w:pPr>
      <w:r>
        <w:rPr>
          <w:rFonts w:ascii="Times New Roman" w:cs="Times New Roman" w:eastAsia="Times New Roman" w:hAnsi="Times New Roman"/>
          <w:sz w:val="24"/>
          <w:szCs w:val="24"/>
        </w:rPr>
        <w:t xml:space="preserve">Petitioner also incurred documented incidental expenses of </w:t>
      </w:r>
      <w:r>
        <w:rPr>
          <w:rFonts w:ascii="Times New Roman" w:cs="Times New Roman" w:eastAsia="Times New Roman" w:hAnsi="Times New Roman"/>
          <w:b/>
          <w:bCs/>
          <w:sz w:val="24"/>
          <w:szCs w:val="24"/>
        </w:rPr>
        <w:t xml:space="preserve">$1,793.43</w:t>
      </w:r>
      <w:r>
        <w:rPr>
          <w:rFonts w:ascii="Times New Roman" w:cs="Times New Roman" w:eastAsia="Times New Roman" w:hAnsi="Times New Roman"/>
          <w:sz w:val="24"/>
          <w:szCs w:val="24"/>
        </w:rPr>
        <w:t xml:space="preserve"> (rental, rideshare, transit, and towing, net of reimbursement), recoverable under section 198-a (c) (1).</w:t>
      </w:r>
    </w:p>
    <w:p>
      <w:pPr>
        <w:keepNext/>
        <w:spacing w:after="160" w:before="280" w:line="240"/>
        <w:ind w:left="720"/>
        <w:jc w:val="left"/>
      </w:pPr>
      <w:r>
        <w:rPr>
          <w:rFonts w:ascii="Times New Roman" w:cs="Times New Roman" w:eastAsia="Times New Roman" w:hAnsi="Times New Roman"/>
          <w:b/>
          <w:bCs/>
          <w:sz w:val="24"/>
          <w:szCs w:val="24"/>
        </w:rPr>
        <w:t xml:space="preserve">F. The Arbitration and the Award</w:t>
      </w:r>
    </w:p>
    <w:p>
      <w:pPr>
        <w:spacing w:after="0" w:line="480"/>
        <w:ind w:firstLine="720"/>
        <w:jc w:val="both"/>
      </w:pPr>
      <w:r>
        <w:rPr>
          <w:rFonts w:ascii="Times New Roman" w:cs="Times New Roman" w:eastAsia="Times New Roman" w:hAnsi="Times New Roman"/>
          <w:sz w:val="24"/>
          <w:szCs w:val="24"/>
        </w:rPr>
        <w:t xml:space="preserve">Petitioner elected arbitration under General Business Law § 198-a (k) and 13 NYCRR Part 300. The matter was administered by the New York State Dispute Resolution Association on behalf of the Attorney General and assigned to the New York Peace Institute Community Dispute Resolution Center. Arbitrator Maneesha Sharma issued the award on </w:t>
      </w:r>
      <w:r>
        <w:rPr>
          <w:rFonts w:ascii="Times New Roman" w:cs="Times New Roman" w:eastAsia="Times New Roman" w:hAnsi="Times New Roman"/>
          <w:b/>
          <w:bCs/>
          <w:sz w:val="24"/>
          <w:szCs w:val="24"/>
        </w:rPr>
        <w:t xml:space="preserve">June 11, 2026</w:t>
      </w:r>
      <w:r>
        <w:rPr>
          <w:rFonts w:ascii="Times New Roman" w:cs="Times New Roman" w:eastAsia="Times New Roman" w:hAnsi="Times New Roman"/>
          <w:sz w:val="24"/>
          <w:szCs w:val="24"/>
        </w:rPr>
        <w:t xml:space="preserve">, denying Petitioner’s claim in its entirety. The award was transmitted to Petitioner by e-mail that day at 2:24 p.m. Eastern. This proceeding is timely commenced within ninety days of delivery of the award. </w:t>
      </w:r>
      <w:r>
        <w:rPr>
          <w:rFonts w:ascii="Times New Roman" w:cs="Times New Roman" w:eastAsia="Times New Roman" w:hAnsi="Times New Roman"/>
          <w:i/>
          <w:iCs/>
          <w:sz w:val="24"/>
          <w:szCs w:val="24"/>
        </w:rPr>
        <w:t xml:space="preserve">See</w:t>
      </w:r>
      <w:r>
        <w:rPr>
          <w:rFonts w:ascii="Times New Roman" w:cs="Times New Roman" w:eastAsia="Times New Roman" w:hAnsi="Times New Roman"/>
          <w:sz w:val="24"/>
          <w:szCs w:val="24"/>
        </w:rPr>
        <w:t xml:space="preserve"> CPLR 7511 (a).</w:t>
      </w:r>
    </w:p>
    <w:p>
      <w:pPr>
        <w:spacing w:after="0" w:line="480"/>
        <w:ind w:firstLine="720"/>
        <w:jc w:val="both"/>
      </w:pPr>
      <w:r>
        <w:rPr>
          <w:rFonts w:ascii="Times New Roman" w:cs="Times New Roman" w:eastAsia="Times New Roman" w:hAnsi="Times New Roman"/>
          <w:sz w:val="24"/>
          <w:szCs w:val="24"/>
        </w:rPr>
        <w:t xml:space="preserve">Four issues were placed in dispute on page 1 of the award. On page 3, the arbitrator found against Petitioner on each: that the vehicle had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been subject to four or more repair attempts; that it had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been out of service by reason of repair for thirty days or more; that the problem did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continue to exist after the fourth attempt; and that the problem did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substantially impair the vehicle’s value.</w:t>
      </w:r>
      <w:r>
        <w:rPr>
          <w:rStyle w:val="FootnoteReference"/>
        </w:rPr>
        <w:footnoteReference w:id="2"/>
      </w:r>
    </w:p>
    <w:p>
      <w:pPr>
        <w:spacing w:after="0" w:line="480"/>
        <w:ind w:firstLine="720"/>
        <w:jc w:val="both"/>
      </w:pPr>
      <w:r>
        <w:rPr>
          <w:rFonts w:ascii="Times New Roman" w:cs="Times New Roman" w:eastAsia="Times New Roman" w:hAnsi="Times New Roman"/>
          <w:sz w:val="24"/>
          <w:szCs w:val="24"/>
        </w:rPr>
        <w:t xml:space="preserve">In the narrative portion of the award, the arbitrator credited Respondent’s explanation that the vehicle </w:t>
      </w:r>
      <w:r>
        <w:rPr>
          <w:rFonts w:ascii="Times New Roman" w:cs="Times New Roman" w:eastAsia="Times New Roman" w:hAnsi="Times New Roman"/>
          <w:i/>
          <w:iCs/>
          <w:sz w:val="24"/>
          <w:szCs w:val="24"/>
        </w:rPr>
        <w:t xml:space="preserve">“needed back order parts which is a challenge in whole industry”</w:t>
      </w:r>
      <w:r>
        <w:rPr>
          <w:rFonts w:ascii="Times New Roman" w:cs="Times New Roman" w:eastAsia="Times New Roman" w:hAnsi="Times New Roman"/>
          <w:sz w:val="24"/>
          <w:szCs w:val="24"/>
        </w:rPr>
        <w:t xml:space="preserve"> and that a </w:t>
      </w:r>
      <w:r>
        <w:rPr>
          <w:rFonts w:ascii="Times New Roman" w:cs="Times New Roman" w:eastAsia="Times New Roman" w:hAnsi="Times New Roman"/>
          <w:i/>
          <w:iCs/>
          <w:sz w:val="24"/>
          <w:szCs w:val="24"/>
        </w:rPr>
        <w:t xml:space="preserve">“loaner [was] provided no charge.”</w:t>
      </w:r>
      <w:r>
        <w:rPr>
          <w:rFonts w:ascii="Times New Roman" w:cs="Times New Roman" w:eastAsia="Times New Roman" w:hAnsi="Times New Roman"/>
          <w:sz w:val="24"/>
          <w:szCs w:val="24"/>
        </w:rPr>
        <w:t xml:space="preserve"> The award recites that there is </w:t>
      </w:r>
      <w:r>
        <w:rPr>
          <w:rFonts w:ascii="Times New Roman" w:cs="Times New Roman" w:eastAsia="Times New Roman" w:hAnsi="Times New Roman"/>
          <w:i/>
          <w:iCs/>
          <w:sz w:val="24"/>
          <w:szCs w:val="24"/>
        </w:rPr>
        <w:t xml:space="preserve">“no guarantee by any manufacturer of a defect free car”</w:t>
      </w:r>
      <w:r>
        <w:rPr>
          <w:rFonts w:ascii="Times New Roman" w:cs="Times New Roman" w:eastAsia="Times New Roman" w:hAnsi="Times New Roman"/>
          <w:sz w:val="24"/>
          <w:szCs w:val="24"/>
        </w:rPr>
        <w:t xml:space="preserve"> and concludes, without analysis, that </w:t>
      </w:r>
      <w:r>
        <w:rPr>
          <w:rFonts w:ascii="Times New Roman" w:cs="Times New Roman" w:eastAsia="Times New Roman" w:hAnsi="Times New Roman"/>
          <w:i/>
          <w:iCs/>
          <w:sz w:val="24"/>
          <w:szCs w:val="24"/>
        </w:rPr>
        <w:t xml:space="preserve">“[t]he manufacturer’s argument is compelling.”</w:t>
      </w:r>
    </w:p>
    <w:p>
      <w:pPr>
        <w:spacing w:after="0" w:line="480"/>
        <w:ind w:firstLine="720"/>
        <w:jc w:val="both"/>
      </w:pPr>
      <w:r>
        <w:rPr>
          <w:rFonts w:ascii="Times New Roman" w:cs="Times New Roman" w:eastAsia="Times New Roman" w:hAnsi="Times New Roman"/>
          <w:sz w:val="24"/>
          <w:szCs w:val="24"/>
        </w:rPr>
        <w:t xml:space="preserve">The award also recites that Petitioner declined Respondent’s buyback offers </w:t>
      </w:r>
      <w:r>
        <w:rPr>
          <w:rFonts w:ascii="Times New Roman" w:cs="Times New Roman" w:eastAsia="Times New Roman" w:hAnsi="Times New Roman"/>
          <w:i/>
          <w:iCs/>
          <w:sz w:val="24"/>
          <w:szCs w:val="24"/>
        </w:rPr>
        <w:t xml:space="preserve">“not due to the $ amount but was concerned about a clause related to the state of CA that he did not think applied,”</w:t>
      </w:r>
      <w:r>
        <w:rPr>
          <w:rFonts w:ascii="Times New Roman" w:cs="Times New Roman" w:eastAsia="Times New Roman" w:hAnsi="Times New Roman"/>
          <w:sz w:val="24"/>
          <w:szCs w:val="24"/>
        </w:rPr>
        <w:t xml:space="preserve"> and that Petitioner extended his lease </w:t>
      </w:r>
      <w:r>
        <w:rPr>
          <w:rFonts w:ascii="Times New Roman" w:cs="Times New Roman" w:eastAsia="Times New Roman" w:hAnsi="Times New Roman"/>
          <w:i/>
          <w:iCs/>
          <w:sz w:val="24"/>
          <w:szCs w:val="24"/>
        </w:rPr>
        <w:t xml:space="preserve">“as he can have it available for inspection if needed.”</w:t>
      </w:r>
    </w:p>
    <w:p>
      <w:pPr>
        <w:spacing w:after="0" w:line="480"/>
        <w:ind w:firstLine="720"/>
        <w:jc w:val="both"/>
      </w:pPr>
      <w:r>
        <w:rPr>
          <w:rFonts w:ascii="Times New Roman" w:cs="Times New Roman" w:eastAsia="Times New Roman" w:hAnsi="Times New Roman"/>
          <w:sz w:val="24"/>
          <w:szCs w:val="24"/>
        </w:rPr>
        <w:t xml:space="preserve">The award misidentifies the vehicle as a </w:t>
      </w:r>
      <w:r>
        <w:rPr>
          <w:rFonts w:ascii="Times New Roman" w:cs="Times New Roman" w:eastAsia="Times New Roman" w:hAnsi="Times New Roman"/>
          <w:i/>
          <w:iCs/>
          <w:sz w:val="24"/>
          <w:szCs w:val="24"/>
        </w:rPr>
        <w:t xml:space="preserve">“new 2024 WAGON ION,”</w:t>
      </w:r>
      <w:r>
        <w:rPr>
          <w:rFonts w:ascii="Times New Roman" w:cs="Times New Roman" w:eastAsia="Times New Roman" w:hAnsi="Times New Roman"/>
          <w:sz w:val="24"/>
          <w:szCs w:val="24"/>
        </w:rPr>
        <w:t xml:space="preserve"> misidentifies the selling dealer as </w:t>
      </w:r>
      <w:r>
        <w:rPr>
          <w:rFonts w:ascii="Times New Roman" w:cs="Times New Roman" w:eastAsia="Times New Roman" w:hAnsi="Times New Roman"/>
          <w:i/>
          <w:iCs/>
          <w:sz w:val="24"/>
          <w:szCs w:val="24"/>
        </w:rPr>
        <w:t xml:space="preserve">“Hyundai Brooklyn”</w:t>
      </w:r>
      <w:r>
        <w:rPr>
          <w:rFonts w:ascii="Times New Roman" w:cs="Times New Roman" w:eastAsia="Times New Roman" w:hAnsi="Times New Roman"/>
          <w:sz w:val="24"/>
          <w:szCs w:val="24"/>
        </w:rPr>
        <w:t xml:space="preserve"> (the vehicle was leased from Koeppel Hyundai in Long Island City), and mistypes the controlling repair order as </w:t>
      </w:r>
      <w:r>
        <w:rPr>
          <w:rFonts w:ascii="Times New Roman" w:cs="Times New Roman" w:eastAsia="Times New Roman" w:hAnsi="Times New Roman"/>
          <w:i/>
          <w:iCs/>
          <w:sz w:val="24"/>
          <w:szCs w:val="24"/>
        </w:rPr>
        <w:t xml:space="preserve">“RO 258530”</w:t>
      </w:r>
      <w:r>
        <w:rPr>
          <w:rFonts w:ascii="Times New Roman" w:cs="Times New Roman" w:eastAsia="Times New Roman" w:hAnsi="Times New Roman"/>
          <w:sz w:val="24"/>
          <w:szCs w:val="24"/>
        </w:rPr>
        <w:t xml:space="preserve"> rather than #358530.</w:t>
      </w:r>
    </w:p>
    <w:p>
      <w:r>
        <w:br/>
      </w:r>
    </w:p>
    <w:p>
      <w:pPr>
        <w:keepNext/>
        <w:spacing w:after="280" w:before="400" w:line="240"/>
        <w:jc w:val="center"/>
      </w:pPr>
      <w:r>
        <w:rPr>
          <w:rFonts w:ascii="Times New Roman" w:cs="Times New Roman" w:eastAsia="Times New Roman" w:hAnsi="Times New Roman"/>
          <w:b/>
          <w:bCs/>
          <w:sz w:val="24"/>
          <w:szCs w:val="24"/>
        </w:rPr>
        <w:t xml:space="preserve">ARGUMENT</w:t>
      </w:r>
    </w:p>
    <w:p>
      <w:pPr>
        <w:keepNext/>
        <w:spacing w:after="240" w:before="360" w:line="240"/>
        <w:jc w:val="center"/>
      </w:pPr>
      <w:r>
        <w:rPr>
          <w:rFonts w:ascii="Times New Roman" w:cs="Times New Roman" w:eastAsia="Times New Roman" w:hAnsi="Times New Roman"/>
          <w:b/>
          <w:bCs/>
          <w:caps w:val="false"/>
          <w:sz w:val="24"/>
          <w:szCs w:val="24"/>
        </w:rPr>
        <w:t xml:space="preserve">POINT I</w:t>
      </w:r>
    </w:p>
    <w:p>
      <w:pPr>
        <w:keepNext/>
        <w:spacing w:after="240" w:before="360" w:line="240"/>
        <w:jc w:val="center"/>
      </w:pPr>
      <w:r>
        <w:rPr>
          <w:rFonts w:ascii="Times New Roman" w:cs="Times New Roman" w:eastAsia="Times New Roman" w:hAnsi="Times New Roman"/>
          <w:b/>
          <w:bCs/>
          <w:caps w:val="false"/>
          <w:sz w:val="24"/>
          <w:szCs w:val="24"/>
        </w:rPr>
        <w:t xml:space="preserve">BECAUSE LEMON LAW ARBITRATION IS COMPULSORY, JUDICIAL REVIEW UNDER ARTICLE 75 IS BROAD</w:t>
      </w:r>
    </w:p>
    <w:p>
      <w:pPr>
        <w:spacing w:after="0" w:line="480"/>
        <w:ind w:firstLine="720"/>
        <w:jc w:val="both"/>
      </w:pPr>
      <w:r>
        <w:rPr>
          <w:rFonts w:ascii="Times New Roman" w:cs="Times New Roman" w:eastAsia="Times New Roman" w:hAnsi="Times New Roman"/>
          <w:sz w:val="24"/>
          <w:szCs w:val="24"/>
        </w:rPr>
        <w:t xml:space="preserve">General Business Law § 198-a (k) permits the consumer to elect arbitration and compels the manufacturer to submit to it. The proceeding is therefore </w:t>
      </w:r>
      <w:r>
        <w:rPr>
          <w:rFonts w:ascii="Times New Roman" w:cs="Times New Roman" w:eastAsia="Times New Roman" w:hAnsi="Times New Roman"/>
          <w:b/>
          <w:bCs/>
          <w:sz w:val="24"/>
          <w:szCs w:val="24"/>
        </w:rPr>
        <w:t xml:space="preserve">compulsory</w:t>
      </w:r>
      <w:r>
        <w:rPr>
          <w:rFonts w:ascii="Times New Roman" w:cs="Times New Roman" w:eastAsia="Times New Roman" w:hAnsi="Times New Roman"/>
          <w:sz w:val="24"/>
          <w:szCs w:val="24"/>
        </w:rPr>
        <w:t xml:space="preserve">, and that characterization controls the scope of this Court’s review.</w:t>
      </w:r>
    </w:p>
    <w:p>
      <w:pPr>
        <w:spacing w:after="0" w:line="480"/>
        <w:ind w:firstLine="720"/>
        <w:jc w:val="both"/>
      </w:pPr>
      <w:r>
        <w:rPr>
          <w:rFonts w:ascii="Times New Roman" w:cs="Times New Roman" w:eastAsia="Times New Roman" w:hAnsi="Times New Roman"/>
          <w:sz w:val="24"/>
          <w:szCs w:val="24"/>
        </w:rPr>
        <w:t xml:space="preserve">In </w:t>
      </w:r>
      <w:r>
        <w:rPr>
          <w:rFonts w:ascii="Times New Roman" w:cs="Times New Roman" w:eastAsia="Times New Roman" w:hAnsi="Times New Roman"/>
          <w:i/>
          <w:iCs/>
          <w:sz w:val="24"/>
          <w:szCs w:val="24"/>
        </w:rPr>
        <w:t xml:space="preserve">Motor Veh. Mfrs. Assn. of U.S. v State of New York</w:t>
      </w:r>
      <w:r>
        <w:rPr>
          <w:rFonts w:ascii="Times New Roman" w:cs="Times New Roman" w:eastAsia="Times New Roman" w:hAnsi="Times New Roman"/>
          <w:sz w:val="24"/>
          <w:szCs w:val="24"/>
        </w:rPr>
        <w:t xml:space="preserve">, 75 NY2d 175 (1990), the Court of Appeals upheld the constitutionality of section 198-a (k) precisely because the expanded judicial review available in compulsory arbitration safeguards the statutory scheme. The Court held:</w:t>
      </w:r>
    </w:p>
    <w:p>
      <w:pPr>
        <w:spacing w:after="240" w:before="240" w:line="240"/>
        <w:ind w:left="1440" w:right="1440"/>
        <w:jc w:val="left"/>
      </w:pPr>
      <w:r>
        <w:rPr>
          <w:rFonts w:ascii="Times New Roman" w:cs="Times New Roman" w:eastAsia="Times New Roman" w:hAnsi="Times New Roman"/>
          <w:sz w:val="24"/>
          <w:szCs w:val="24"/>
        </w:rPr>
        <w:t xml:space="preserve">“Inasmuch as compulsory arbitration is involved, judicial review under CPLR article 75 is broad, requiring that the award be in accord with due process and supported by adequate evidence in the record.”</w:t>
        <w:br/>
      </w:r>
      <w:r>
        <w:rPr>
          <w:rFonts w:ascii="Times New Roman" w:cs="Times New Roman" w:eastAsia="Times New Roman" w:hAnsi="Times New Roman"/>
          <w:i/>
          <w:iCs/>
          <w:sz w:val="24"/>
          <w:szCs w:val="24"/>
        </w:rPr>
        <w:t xml:space="preserve">Motor Veh. Mfrs. Assn.</w:t>
      </w:r>
      <w:r>
        <w:rPr>
          <w:rFonts w:ascii="Times New Roman" w:cs="Times New Roman" w:eastAsia="Times New Roman" w:hAnsi="Times New Roman"/>
          <w:sz w:val="24"/>
          <w:szCs w:val="24"/>
        </w:rPr>
        <w:t xml:space="preserve">, 75 NY2d at 186 (citing </w:t>
      </w:r>
      <w:r>
        <w:rPr>
          <w:rFonts w:ascii="Times New Roman" w:cs="Times New Roman" w:eastAsia="Times New Roman" w:hAnsi="Times New Roman"/>
          <w:i/>
          <w:iCs/>
          <w:sz w:val="24"/>
          <w:szCs w:val="24"/>
        </w:rPr>
        <w:t xml:space="preserve">Caso v Coffey</w:t>
      </w:r>
      <w:r>
        <w:rPr>
          <w:rFonts w:ascii="Times New Roman" w:cs="Times New Roman" w:eastAsia="Times New Roman" w:hAnsi="Times New Roman"/>
          <w:sz w:val="24"/>
          <w:szCs w:val="24"/>
        </w:rPr>
        <w:t xml:space="preserve">, 41 NY2d 153, 156 [1976], and </w:t>
      </w:r>
      <w:r>
        <w:rPr>
          <w:rFonts w:ascii="Times New Roman" w:cs="Times New Roman" w:eastAsia="Times New Roman" w:hAnsi="Times New Roman"/>
          <w:i/>
          <w:iCs/>
          <w:sz w:val="24"/>
          <w:szCs w:val="24"/>
        </w:rPr>
        <w:t xml:space="preserve">Mount St. Mary’s Hosp. v Catherwood</w:t>
      </w:r>
      <w:r>
        <w:rPr>
          <w:rFonts w:ascii="Times New Roman" w:cs="Times New Roman" w:eastAsia="Times New Roman" w:hAnsi="Times New Roman"/>
          <w:sz w:val="24"/>
          <w:szCs w:val="24"/>
        </w:rPr>
        <w:t xml:space="preserve">, 26 NY2d 493 [1970]).</w:t>
      </w:r>
    </w:p>
    <w:p>
      <w:pPr>
        <w:spacing w:after="0" w:line="480"/>
        <w:ind w:firstLine="720"/>
        <w:jc w:val="both"/>
      </w:pPr>
      <w:r>
        <w:rPr>
          <w:rFonts w:ascii="Times New Roman" w:cs="Times New Roman" w:eastAsia="Times New Roman" w:hAnsi="Times New Roman"/>
          <w:sz w:val="24"/>
          <w:szCs w:val="24"/>
        </w:rPr>
        <w:t xml:space="preserve">The Court emphasized that Lemon Law arbitrators, </w:t>
      </w:r>
      <w:r>
        <w:rPr>
          <w:rFonts w:ascii="Times New Roman" w:cs="Times New Roman" w:eastAsia="Times New Roman" w:hAnsi="Times New Roman"/>
          <w:i/>
          <w:iCs/>
          <w:sz w:val="24"/>
          <w:szCs w:val="24"/>
        </w:rPr>
        <w:t xml:space="preserve">“unlike others, are not given broad powers to interpret substantive case law when rendering a decision.”</w:t>
      </w:r>
      <w:r>
        <w:rPr>
          <w:rFonts w:ascii="Times New Roman" w:cs="Times New Roman" w:eastAsia="Times New Roman" w:hAnsi="Times New Roman"/>
          <w:sz w:val="24"/>
          <w:szCs w:val="24"/>
        </w:rPr>
        <w:t xml:space="preserve"> Rather, they </w:t>
      </w:r>
      <w:r>
        <w:rPr>
          <w:rFonts w:ascii="Times New Roman" w:cs="Times New Roman" w:eastAsia="Times New Roman" w:hAnsi="Times New Roman"/>
          <w:i/>
          <w:iCs/>
          <w:sz w:val="24"/>
          <w:szCs w:val="24"/>
        </w:rPr>
        <w:t xml:space="preserve">“are required to follow a specific procedure outlined in the statute and regulations to resolve fact-specific disputes and grant one of only two types of specific relief.”</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The Legislature “ensur[ed] that its mandate be followed by providing for the expanded judicial review available in compulsory arbitration.”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185.</w:t>
      </w:r>
    </w:p>
    <w:p>
      <w:pPr>
        <w:spacing w:after="0" w:line="480"/>
        <w:ind w:firstLine="720"/>
        <w:jc w:val="both"/>
      </w:pPr>
      <w:r>
        <w:rPr>
          <w:rFonts w:ascii="Times New Roman" w:cs="Times New Roman" w:eastAsia="Times New Roman" w:hAnsi="Times New Roman"/>
          <w:sz w:val="24"/>
          <w:szCs w:val="24"/>
        </w:rPr>
        <w:t xml:space="preserve">The Appellate Division has distilled the standard into three requirements. “[T]he standard of review of a Lemon Law arbitration award is whether it accords with due process, is supported by adequate record evidence, and is rational and not arbitrary and capricious.” </w:t>
      </w:r>
      <w:r>
        <w:rPr>
          <w:rFonts w:ascii="Times New Roman" w:cs="Times New Roman" w:eastAsia="Times New Roman" w:hAnsi="Times New Roman"/>
          <w:i/>
          <w:iCs/>
          <w:sz w:val="24"/>
          <w:szCs w:val="24"/>
        </w:rPr>
        <w:t xml:space="preserve">Matter of General Motors Corp. [Gurau]</w:t>
      </w:r>
      <w:r>
        <w:rPr>
          <w:rFonts w:ascii="Times New Roman" w:cs="Times New Roman" w:eastAsia="Times New Roman" w:hAnsi="Times New Roman"/>
          <w:sz w:val="24"/>
          <w:szCs w:val="24"/>
        </w:rPr>
        <w:t xml:space="preserve">, 33 AD3d 1149, 1151 (3d Dept 2006); </w:t>
      </w:r>
      <w:r>
        <w:rPr>
          <w:rFonts w:ascii="Times New Roman" w:cs="Times New Roman" w:eastAsia="Times New Roman" w:hAnsi="Times New Roman"/>
          <w:i/>
          <w:iCs/>
          <w:sz w:val="24"/>
          <w:szCs w:val="24"/>
        </w:rPr>
        <w:t xml:space="preserve">accord Matter of General Motors Corp. [Sheikh]</w:t>
      </w:r>
      <w:r>
        <w:rPr>
          <w:rFonts w:ascii="Times New Roman" w:cs="Times New Roman" w:eastAsia="Times New Roman" w:hAnsi="Times New Roman"/>
          <w:sz w:val="24"/>
          <w:szCs w:val="24"/>
        </w:rPr>
        <w:t xml:space="preserve">, 2007 NY Slip Op 05186 (3d Dept 2007). Failure of any one requirement compels vacatur.</w:t>
      </w:r>
    </w:p>
    <w:p>
      <w:pPr>
        <w:spacing w:after="0" w:line="480"/>
        <w:ind w:firstLine="720"/>
        <w:jc w:val="both"/>
      </w:pPr>
      <w:r>
        <w:rPr>
          <w:rFonts w:ascii="Times New Roman" w:cs="Times New Roman" w:eastAsia="Times New Roman" w:hAnsi="Times New Roman"/>
          <w:sz w:val="24"/>
          <w:szCs w:val="24"/>
        </w:rPr>
        <w:t xml:space="preserve">The First Department — the department in which this proceeding lies — has applied that standard to vacate Lemon Law awards. In </w:t>
      </w:r>
      <w:r>
        <w:rPr>
          <w:rFonts w:ascii="Times New Roman" w:cs="Times New Roman" w:eastAsia="Times New Roman" w:hAnsi="Times New Roman"/>
          <w:i/>
          <w:iCs/>
          <w:sz w:val="24"/>
          <w:szCs w:val="24"/>
        </w:rPr>
        <w:t xml:space="preserve">Matter of BMW of N. Am., LLC v Leonidou</w:t>
      </w:r>
      <w:r>
        <w:rPr>
          <w:rFonts w:ascii="Times New Roman" w:cs="Times New Roman" w:eastAsia="Times New Roman" w:hAnsi="Times New Roman"/>
          <w:sz w:val="24"/>
          <w:szCs w:val="24"/>
        </w:rPr>
        <w:t xml:space="preserve">, 2020 NY Slip Op 02858 (1st Dept 2020), the Court reversed the denial of a petition to vacate and held:</w:t>
      </w:r>
    </w:p>
    <w:p>
      <w:pPr>
        <w:spacing w:after="240" w:before="240" w:line="240"/>
        <w:ind w:left="1440" w:right="1440"/>
        <w:jc w:val="left"/>
      </w:pPr>
      <w:r>
        <w:rPr>
          <w:rFonts w:ascii="Times New Roman" w:cs="Times New Roman" w:eastAsia="Times New Roman" w:hAnsi="Times New Roman"/>
          <w:sz w:val="24"/>
          <w:szCs w:val="24"/>
        </w:rPr>
        <w:t xml:space="preserve">In a compulsory arbitration proceeding, an arbitrator must “abide by the statutory standards, or an award will be vacated for exceeding the legislative grant of authority.”</w:t>
      </w:r>
    </w:p>
    <w:p>
      <w:pPr>
        <w:spacing w:after="0" w:line="480"/>
        <w:ind w:firstLine="720"/>
        <w:jc w:val="both"/>
      </w:pPr>
      <w:r>
        <w:rPr>
          <w:rFonts w:ascii="Times New Roman" w:cs="Times New Roman" w:eastAsia="Times New Roman" w:hAnsi="Times New Roman"/>
          <w:sz w:val="24"/>
          <w:szCs w:val="24"/>
        </w:rPr>
        <w:t xml:space="preserve">The Court vacated the award there because it “lack[ed] a rational basis” on the record before the arbitrator.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see also Matter of BMW of N. Am., LLC v Riina</w:t>
      </w:r>
      <w:r>
        <w:rPr>
          <w:rFonts w:ascii="Times New Roman" w:cs="Times New Roman" w:eastAsia="Times New Roman" w:hAnsi="Times New Roman"/>
          <w:sz w:val="24"/>
          <w:szCs w:val="24"/>
        </w:rPr>
        <w:t xml:space="preserve">, 149 AD3d 420 (1st Dept 2017). Petitioner acknowledges that </w:t>
      </w:r>
      <w:r>
        <w:rPr>
          <w:rFonts w:ascii="Times New Roman" w:cs="Times New Roman" w:eastAsia="Times New Roman" w:hAnsi="Times New Roman"/>
          <w:i/>
          <w:iCs/>
          <w:sz w:val="24"/>
          <w:szCs w:val="24"/>
        </w:rPr>
        <w:t xml:space="preserve">Leonidou</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Riina</w:t>
      </w:r>
      <w:r>
        <w:rPr>
          <w:rFonts w:ascii="Times New Roman" w:cs="Times New Roman" w:eastAsia="Times New Roman" w:hAnsi="Times New Roman"/>
          <w:sz w:val="24"/>
          <w:szCs w:val="24"/>
        </w:rPr>
        <w:t xml:space="preserve"> were brought by manufacturers seeking to vacate awards in favor of consumers. That is immaterial: the standard is symmetrical, and the facts here run in the opposite direction. In </w:t>
      </w:r>
      <w:r>
        <w:rPr>
          <w:rFonts w:ascii="Times New Roman" w:cs="Times New Roman" w:eastAsia="Times New Roman" w:hAnsi="Times New Roman"/>
          <w:i/>
          <w:iCs/>
          <w:sz w:val="24"/>
          <w:szCs w:val="24"/>
        </w:rPr>
        <w:t xml:space="preserve">Leonidou</w:t>
      </w:r>
      <w:r>
        <w:rPr>
          <w:rFonts w:ascii="Times New Roman" w:cs="Times New Roman" w:eastAsia="Times New Roman" w:hAnsi="Times New Roman"/>
          <w:sz w:val="24"/>
          <w:szCs w:val="24"/>
        </w:rPr>
        <w:t xml:space="preserve"> the record contained </w:t>
      </w:r>
      <w:r>
        <w:rPr>
          <w:rFonts w:ascii="Times New Roman" w:cs="Times New Roman" w:eastAsia="Times New Roman" w:hAnsi="Times New Roman"/>
          <w:i/>
          <w:iCs/>
          <w:sz w:val="24"/>
          <w:szCs w:val="24"/>
        </w:rPr>
        <w:t xml:space="preserve">no</w:t>
      </w:r>
      <w:r>
        <w:rPr>
          <w:rFonts w:ascii="Times New Roman" w:cs="Times New Roman" w:eastAsia="Times New Roman" w:hAnsi="Times New Roman"/>
          <w:sz w:val="24"/>
          <w:szCs w:val="24"/>
        </w:rPr>
        <w:t xml:space="preserve"> evidence supporting the award. Here the record contains Respondent’s own repair order establishing 124 days out of service — and the award finds the opposite.</w:t>
      </w:r>
    </w:p>
    <w:p>
      <w:pPr>
        <w:spacing w:after="0" w:line="480"/>
        <w:ind w:firstLine="720"/>
        <w:jc w:val="both"/>
      </w:pPr>
      <w:r>
        <w:rPr>
          <w:rFonts w:ascii="Times New Roman" w:cs="Times New Roman" w:eastAsia="Times New Roman" w:hAnsi="Times New Roman"/>
          <w:sz w:val="24"/>
          <w:szCs w:val="24"/>
        </w:rPr>
        <w:t xml:space="preserve">This is not the deferential review applied to consensual arbitration, under which courts will not disturb an arbitrator’s errors of law or fact. In compulsory arbitration, “judicial review … must be premised on adequate evidence in the record.” </w:t>
      </w:r>
      <w:r>
        <w:rPr>
          <w:rFonts w:ascii="Times New Roman" w:cs="Times New Roman" w:eastAsia="Times New Roman" w:hAnsi="Times New Roman"/>
          <w:i/>
          <w:iCs/>
          <w:sz w:val="24"/>
          <w:szCs w:val="24"/>
        </w:rPr>
        <w:t xml:space="preserve">Mount St. Mary’s Hosp.</w:t>
      </w:r>
      <w:r>
        <w:rPr>
          <w:rFonts w:ascii="Times New Roman" w:cs="Times New Roman" w:eastAsia="Times New Roman" w:hAnsi="Times New Roman"/>
          <w:sz w:val="24"/>
          <w:szCs w:val="24"/>
        </w:rPr>
        <w:t xml:space="preserve">, 26 NY2d at 508. Vacatur is authorized under CPLR 7511 (b) (1) (iii), which reaches an award in which “an arbitrator … exceeded his power.” An arbitrator who departs from the statutory standards of section 198-a exceeds the legislative grant of authority and thereby exceeds her power.</w:t>
      </w:r>
    </w:p>
    <w:p>
      <w:pPr>
        <w:keepNext/>
        <w:spacing w:after="240" w:before="360" w:line="240"/>
        <w:jc w:val="center"/>
      </w:pPr>
      <w:r>
        <w:rPr>
          <w:rFonts w:ascii="Times New Roman" w:cs="Times New Roman" w:eastAsia="Times New Roman" w:hAnsi="Times New Roman"/>
          <w:b/>
          <w:bCs/>
          <w:caps w:val="false"/>
          <w:sz w:val="24"/>
          <w:szCs w:val="24"/>
        </w:rPr>
        <w:t xml:space="preserve">POINT II</w:t>
      </w:r>
    </w:p>
    <w:p>
      <w:pPr>
        <w:keepNext/>
        <w:spacing w:after="240" w:before="360" w:line="240"/>
        <w:jc w:val="center"/>
      </w:pPr>
      <w:r>
        <w:rPr>
          <w:rFonts w:ascii="Times New Roman" w:cs="Times New Roman" w:eastAsia="Times New Roman" w:hAnsi="Times New Roman"/>
          <w:b/>
          <w:bCs/>
          <w:caps w:val="false"/>
          <w:sz w:val="24"/>
          <w:szCs w:val="24"/>
        </w:rPr>
        <w:t xml:space="preserve">THE AWARD’S DISPOSITIVE FINDING IS REFUTED BY THE ARBITRATOR’S OWN SUMMARY OF THE RECORD</w:t>
      </w:r>
    </w:p>
    <w:p>
      <w:pPr>
        <w:spacing w:after="0" w:line="480"/>
        <w:ind w:firstLine="720"/>
        <w:jc w:val="both"/>
      </w:pPr>
      <w:r>
        <w:rPr>
          <w:rFonts w:ascii="Times New Roman" w:cs="Times New Roman" w:eastAsia="Times New Roman" w:hAnsi="Times New Roman"/>
          <w:sz w:val="24"/>
          <w:szCs w:val="24"/>
        </w:rPr>
        <w:t xml:space="preserve">The award denies relief on a single stated ground:</w:t>
      </w:r>
    </w:p>
    <w:p>
      <w:pPr>
        <w:spacing w:after="240" w:before="240" w:line="240"/>
        <w:ind w:left="1440" w:right="1440"/>
        <w:jc w:val="left"/>
      </w:pPr>
      <w:r>
        <w:rPr>
          <w:rFonts w:ascii="Times New Roman" w:cs="Times New Roman" w:eastAsia="Times New Roman" w:hAnsi="Times New Roman"/>
          <w:i/>
          <w:iCs/>
          <w:sz w:val="24"/>
          <w:szCs w:val="24"/>
        </w:rPr>
        <w:t xml:space="preserve">“Based on testimony that the vehicle is currently operating and no allegation that the use and value is impaired, the consumer has not met his burden of proof.”</w:t>
      </w:r>
    </w:p>
    <w:p>
      <w:pPr>
        <w:spacing w:after="0" w:line="480"/>
        <w:ind w:firstLine="720"/>
        <w:jc w:val="both"/>
      </w:pPr>
      <w:r>
        <w:rPr>
          <w:rFonts w:ascii="Times New Roman" w:cs="Times New Roman" w:eastAsia="Times New Roman" w:hAnsi="Times New Roman"/>
          <w:sz w:val="24"/>
          <w:szCs w:val="24"/>
        </w:rPr>
        <w:t xml:space="preserve">In the very same paragraph, sentences earlier, the arbitrator summarized Petitioner’s presentation. That summary recites Petitioner’s allegation that the vehicle was “out of service for over 200 days,” his “approx. 1,800 in expenses associated w having to take cabs etc to work,” his account of “being stranded in Feb 2026” when “the car did not start,” and his position that the battery-draining defect “is a manufacturing defect.”</w:t>
      </w:r>
    </w:p>
    <w:p>
      <w:pPr>
        <w:spacing w:after="0" w:line="480"/>
        <w:ind w:firstLine="720"/>
        <w:jc w:val="both"/>
      </w:pPr>
      <w:r>
        <w:rPr>
          <w:rFonts w:ascii="Times New Roman" w:cs="Times New Roman" w:eastAsia="Times New Roman" w:hAnsi="Times New Roman"/>
          <w:sz w:val="24"/>
          <w:szCs w:val="24"/>
        </w:rPr>
        <w:t xml:space="preserve">The award thus asserts that Petitioner made </w:t>
      </w:r>
      <w:r>
        <w:rPr>
          <w:rFonts w:ascii="Times New Roman" w:cs="Times New Roman" w:eastAsia="Times New Roman" w:hAnsi="Times New Roman"/>
          <w:i/>
          <w:iCs/>
          <w:sz w:val="24"/>
          <w:szCs w:val="24"/>
        </w:rPr>
        <w:t xml:space="preserve">“no allegation”</w:t>
      </w:r>
      <w:r>
        <w:rPr>
          <w:rFonts w:ascii="Times New Roman" w:cs="Times New Roman" w:eastAsia="Times New Roman" w:hAnsi="Times New Roman"/>
          <w:sz w:val="24"/>
          <w:szCs w:val="24"/>
        </w:rPr>
        <w:t xml:space="preserve"> of impairment of use and value while simultaneously reciting the allegations of impairment of use and value. Both propositions cannot be true. The award refutes itself within its own four corners.</w:t>
      </w:r>
    </w:p>
    <w:p>
      <w:pPr>
        <w:spacing w:after="0" w:line="480"/>
        <w:ind w:firstLine="720"/>
        <w:jc w:val="both"/>
      </w:pPr>
      <w:r>
        <w:rPr>
          <w:rFonts w:ascii="Times New Roman" w:cs="Times New Roman" w:eastAsia="Times New Roman" w:hAnsi="Times New Roman"/>
          <w:sz w:val="24"/>
          <w:szCs w:val="24"/>
        </w:rPr>
        <w:t xml:space="preserve">The distinction matters. Had the arbitrator written that she </w:t>
      </w:r>
      <w:r>
        <w:rPr>
          <w:rFonts w:ascii="Times New Roman" w:cs="Times New Roman" w:eastAsia="Times New Roman" w:hAnsi="Times New Roman"/>
          <w:i/>
          <w:iCs/>
          <w:sz w:val="24"/>
          <w:szCs w:val="24"/>
        </w:rPr>
        <w:t xml:space="preserve">disbelieved</w:t>
      </w:r>
      <w:r>
        <w:rPr>
          <w:rFonts w:ascii="Times New Roman" w:cs="Times New Roman" w:eastAsia="Times New Roman" w:hAnsi="Times New Roman"/>
          <w:sz w:val="24"/>
          <w:szCs w:val="24"/>
        </w:rPr>
        <w:t xml:space="preserve"> Petitioner, or that she </w:t>
      </w:r>
      <w:r>
        <w:rPr>
          <w:rFonts w:ascii="Times New Roman" w:cs="Times New Roman" w:eastAsia="Times New Roman" w:hAnsi="Times New Roman"/>
          <w:i/>
          <w:iCs/>
          <w:sz w:val="24"/>
          <w:szCs w:val="24"/>
        </w:rPr>
        <w:t xml:space="preserve">weighed</w:t>
      </w:r>
      <w:r>
        <w:rPr>
          <w:rFonts w:ascii="Times New Roman" w:cs="Times New Roman" w:eastAsia="Times New Roman" w:hAnsi="Times New Roman"/>
          <w:sz w:val="24"/>
          <w:szCs w:val="24"/>
        </w:rPr>
        <w:t xml:space="preserve"> his evidence and found it insufficient, that would be a credibility determination or an evidentiary assessment, and this Court would owe it substantial deference. But that is not what she wrote. She wrote that the allegation was never made. That is a statement about the </w:t>
      </w:r>
      <w:r>
        <w:rPr>
          <w:rFonts w:ascii="Times New Roman" w:cs="Times New Roman" w:eastAsia="Times New Roman" w:hAnsi="Times New Roman"/>
          <w:b/>
          <w:bCs/>
          <w:sz w:val="24"/>
          <w:szCs w:val="24"/>
        </w:rPr>
        <w:t xml:space="preserve">contents of the record</w:t>
      </w:r>
      <w:r>
        <w:rPr>
          <w:rFonts w:ascii="Times New Roman" w:cs="Times New Roman" w:eastAsia="Times New Roman" w:hAnsi="Times New Roman"/>
          <w:sz w:val="24"/>
          <w:szCs w:val="24"/>
        </w:rPr>
        <w:t xml:space="preserve">, not about their weight. It is objectively verifiable, and the award itself establishes that it is wrong.</w:t>
      </w:r>
    </w:p>
    <w:p>
      <w:pPr>
        <w:spacing w:after="0" w:line="480"/>
        <w:ind w:firstLine="720"/>
        <w:jc w:val="both"/>
      </w:pPr>
      <w:r>
        <w:rPr>
          <w:rFonts w:ascii="Times New Roman" w:cs="Times New Roman" w:eastAsia="Times New Roman" w:hAnsi="Times New Roman"/>
          <w:sz w:val="24"/>
          <w:szCs w:val="24"/>
        </w:rPr>
        <w:t xml:space="preserve">An award premised on a demonstrably false characterization of the record is not “supported by adequate evidence in the record.” </w:t>
      </w:r>
      <w:r>
        <w:rPr>
          <w:rFonts w:ascii="Times New Roman" w:cs="Times New Roman" w:eastAsia="Times New Roman" w:hAnsi="Times New Roman"/>
          <w:i/>
          <w:iCs/>
          <w:sz w:val="24"/>
          <w:szCs w:val="24"/>
        </w:rPr>
        <w:t xml:space="preserve">Motor Veh. Mfrs. Assn.</w:t>
      </w:r>
      <w:r>
        <w:rPr>
          <w:rFonts w:ascii="Times New Roman" w:cs="Times New Roman" w:eastAsia="Times New Roman" w:hAnsi="Times New Roman"/>
          <w:sz w:val="24"/>
          <w:szCs w:val="24"/>
        </w:rPr>
        <w:t xml:space="preserve">, 75 NY2d at 186. It is arbitrary within the meaning of </w:t>
      </w:r>
      <w:r>
        <w:rPr>
          <w:rFonts w:ascii="Times New Roman" w:cs="Times New Roman" w:eastAsia="Times New Roman" w:hAnsi="Times New Roman"/>
          <w:i/>
          <w:iCs/>
          <w:sz w:val="24"/>
          <w:szCs w:val="24"/>
        </w:rPr>
        <w:t xml:space="preserve">Gurau</w:t>
      </w:r>
      <w:r>
        <w:rPr>
          <w:rFonts w:ascii="Times New Roman" w:cs="Times New Roman" w:eastAsia="Times New Roman" w:hAnsi="Times New Roman"/>
          <w:sz w:val="24"/>
          <w:szCs w:val="24"/>
        </w:rPr>
        <w:t xml:space="preserve">, 33 AD3d at 1151, and it “lacks a rational basis” within the meaning of </w:t>
      </w:r>
      <w:r>
        <w:rPr>
          <w:rFonts w:ascii="Times New Roman" w:cs="Times New Roman" w:eastAsia="Times New Roman" w:hAnsi="Times New Roman"/>
          <w:i/>
          <w:iCs/>
          <w:sz w:val="24"/>
          <w:szCs w:val="24"/>
        </w:rPr>
        <w:t xml:space="preserve">Leonidou</w:t>
      </w:r>
      <w:r>
        <w:rPr>
          <w:rFonts w:ascii="Times New Roman" w:cs="Times New Roman" w:eastAsia="Times New Roman" w:hAnsi="Times New Roman"/>
          <w:sz w:val="24"/>
          <w:szCs w:val="24"/>
        </w:rPr>
        <w:t xml:space="preserve">, 2020 NY Slip Op 02858. No external evidence is required to demonstrate the defect; the award proves it standing alone.</w:t>
      </w:r>
    </w:p>
    <w:p>
      <w:pPr>
        <w:spacing w:after="0" w:line="480"/>
        <w:ind w:firstLine="720"/>
        <w:jc w:val="both"/>
      </w:pPr>
      <w:r>
        <w:rPr>
          <w:rFonts w:ascii="Times New Roman" w:cs="Times New Roman" w:eastAsia="Times New Roman" w:hAnsi="Times New Roman"/>
          <w:sz w:val="24"/>
          <w:szCs w:val="24"/>
        </w:rPr>
        <w:t xml:space="preserve">Nor can the error be dismissed as harmless. This sentence is the </w:t>
      </w:r>
      <w:r>
        <w:rPr>
          <w:rFonts w:ascii="Times New Roman" w:cs="Times New Roman" w:eastAsia="Times New Roman" w:hAnsi="Times New Roman"/>
          <w:b/>
          <w:bCs/>
          <w:sz w:val="24"/>
          <w:szCs w:val="24"/>
        </w:rPr>
        <w:t xml:space="preserve">only</w:t>
      </w:r>
      <w:r>
        <w:rPr>
          <w:rFonts w:ascii="Times New Roman" w:cs="Times New Roman" w:eastAsia="Times New Roman" w:hAnsi="Times New Roman"/>
          <w:sz w:val="24"/>
          <w:szCs w:val="24"/>
        </w:rPr>
        <w:t xml:space="preserve"> stated reasoning for the denial — the balance of the form is checked boxes. Strike it and no reasoning supports the award.</w:t>
      </w:r>
    </w:p>
    <w:p>
      <w:pPr>
        <w:keepNext/>
        <w:spacing w:after="240" w:before="360" w:line="240"/>
        <w:jc w:val="center"/>
      </w:pPr>
      <w:r>
        <w:rPr>
          <w:rFonts w:ascii="Times New Roman" w:cs="Times New Roman" w:eastAsia="Times New Roman" w:hAnsi="Times New Roman"/>
          <w:b/>
          <w:bCs/>
          <w:caps w:val="false"/>
          <w:sz w:val="24"/>
          <w:szCs w:val="24"/>
        </w:rPr>
        <w:t xml:space="preserve">POINT III</w:t>
      </w:r>
    </w:p>
    <w:p>
      <w:pPr>
        <w:keepNext/>
        <w:spacing w:after="240" w:before="360" w:line="240"/>
        <w:jc w:val="center"/>
      </w:pPr>
      <w:r>
        <w:rPr>
          <w:rFonts w:ascii="Times New Roman" w:cs="Times New Roman" w:eastAsia="Times New Roman" w:hAnsi="Times New Roman"/>
          <w:b/>
          <w:bCs/>
          <w:caps w:val="false"/>
          <w:sz w:val="24"/>
          <w:szCs w:val="24"/>
        </w:rPr>
        <w:t xml:space="preserve">THE AWARD APPLIES A CONDITION-AT-HEARING STANDARD THAT THE COURT OF APPEALS HAS REPUDIATED</w:t>
      </w:r>
    </w:p>
    <w:p>
      <w:pPr>
        <w:spacing w:after="0" w:line="480"/>
        <w:ind w:firstLine="720"/>
        <w:jc w:val="both"/>
      </w:pPr>
      <w:r>
        <w:rPr>
          <w:rFonts w:ascii="Times New Roman" w:cs="Times New Roman" w:eastAsia="Times New Roman" w:hAnsi="Times New Roman"/>
          <w:sz w:val="24"/>
          <w:szCs w:val="24"/>
        </w:rPr>
        <w:t xml:space="preserve">The arbitrator’s reasoning turns on “testimony that the vehicle is </w:t>
      </w:r>
      <w:r>
        <w:rPr>
          <w:rFonts w:ascii="Times New Roman" w:cs="Times New Roman" w:eastAsia="Times New Roman" w:hAnsi="Times New Roman"/>
          <w:i/>
          <w:iCs/>
          <w:sz w:val="24"/>
          <w:szCs w:val="24"/>
        </w:rPr>
        <w:t xml:space="preserve">currently operating</w:t>
      </w:r>
      <w:r>
        <w:rPr>
          <w:rFonts w:ascii="Times New Roman" w:cs="Times New Roman" w:eastAsia="Times New Roman" w:hAnsi="Times New Roman"/>
          <w:sz w:val="24"/>
          <w:szCs w:val="24"/>
        </w:rPr>
        <w:t xml:space="preserve">.” That is not, and has never been, the test under General Business Law § 198-a.</w:t>
      </w:r>
    </w:p>
    <w:p>
      <w:pPr>
        <w:spacing w:after="0" w:line="480"/>
        <w:ind w:firstLine="720"/>
        <w:jc w:val="both"/>
      </w:pPr>
      <w:r>
        <w:rPr>
          <w:rFonts w:ascii="Times New Roman" w:cs="Times New Roman" w:eastAsia="Times New Roman" w:hAnsi="Times New Roman"/>
          <w:sz w:val="24"/>
          <w:szCs w:val="24"/>
        </w:rPr>
        <w:t xml:space="preserve">In </w:t>
      </w:r>
      <w:r>
        <w:rPr>
          <w:rFonts w:ascii="Times New Roman" w:cs="Times New Roman" w:eastAsia="Times New Roman" w:hAnsi="Times New Roman"/>
          <w:i/>
          <w:iCs/>
          <w:sz w:val="24"/>
          <w:szCs w:val="24"/>
        </w:rPr>
        <w:t xml:space="preserve">Matter of DaimlerChrysler Corp. v Spitzer</w:t>
      </w:r>
      <w:r>
        <w:rPr>
          <w:rFonts w:ascii="Times New Roman" w:cs="Times New Roman" w:eastAsia="Times New Roman" w:hAnsi="Times New Roman"/>
          <w:sz w:val="24"/>
          <w:szCs w:val="24"/>
        </w:rPr>
        <w:t xml:space="preserve">, 7 NY3d 653 (2006), the Court of Appeals confronted precisely this question and rejected the manufacturer’s position. The “continues to exist” language in the statute is confined to the four-repair-attempt prong of section 198-a (d) (1), and asks only whether the problem persists </w:t>
      </w:r>
      <w:r>
        <w:rPr>
          <w:rFonts w:ascii="Times New Roman" w:cs="Times New Roman" w:eastAsia="Times New Roman" w:hAnsi="Times New Roman"/>
          <w:b/>
          <w:bCs/>
          <w:sz w:val="24"/>
          <w:szCs w:val="24"/>
        </w:rPr>
        <w:t xml:space="preserve">after the fourth attempt</w:t>
      </w:r>
      <w:r>
        <w:rPr>
          <w:rFonts w:ascii="Times New Roman" w:cs="Times New Roman" w:eastAsia="Times New Roman" w:hAnsi="Times New Roman"/>
          <w:sz w:val="24"/>
          <w:szCs w:val="24"/>
        </w:rPr>
        <w:t xml:space="preserve"> — not whether it persists to the date of the hearing.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658. There is no free-standing requirement that a nonconformity remain manifest when the arbitrator happens to convene.</w:t>
      </w:r>
    </w:p>
    <w:p>
      <w:pPr>
        <w:spacing w:after="0" w:line="480"/>
        <w:ind w:firstLine="720"/>
        <w:jc w:val="both"/>
      </w:pPr>
      <w:r>
        <w:rPr>
          <w:rFonts w:ascii="Times New Roman" w:cs="Times New Roman" w:eastAsia="Times New Roman" w:hAnsi="Times New Roman"/>
          <w:sz w:val="24"/>
          <w:szCs w:val="24"/>
        </w:rPr>
        <w:t xml:space="preserve">The point is dispositive here for a reason more fundamental still. Petitioner’s claim rests on the </w:t>
      </w:r>
      <w:r>
        <w:rPr>
          <w:rFonts w:ascii="Times New Roman" w:cs="Times New Roman" w:eastAsia="Times New Roman" w:hAnsi="Times New Roman"/>
          <w:b/>
          <w:bCs/>
          <w:sz w:val="24"/>
          <w:szCs w:val="24"/>
        </w:rPr>
        <w:t xml:space="preserve">thirty-day prong</w:t>
      </w:r>
      <w:r>
        <w:rPr>
          <w:rFonts w:ascii="Times New Roman" w:cs="Times New Roman" w:eastAsia="Times New Roman" w:hAnsi="Times New Roman"/>
          <w:sz w:val="24"/>
          <w:szCs w:val="24"/>
        </w:rPr>
        <w:t xml:space="preserve">, section 198-a (d) (2), which provides a presumption where:</w:t>
      </w:r>
    </w:p>
    <w:p>
      <w:pPr>
        <w:spacing w:after="240" w:before="240" w:line="240"/>
        <w:ind w:left="1440" w:right="1440"/>
        <w:jc w:val="left"/>
      </w:pPr>
      <w:r>
        <w:rPr>
          <w:rFonts w:ascii="Times New Roman" w:cs="Times New Roman" w:eastAsia="Times New Roman" w:hAnsi="Times New Roman"/>
          <w:sz w:val="24"/>
          <w:szCs w:val="24"/>
        </w:rPr>
        <w:t xml:space="preserve">“the vehicle is out of service by reason of repair for a cumulative total of thirty or more calendar days during either period [the first two years or eighteen thousand miles].”</w:t>
        <w:br/>
        <w:t xml:space="preserve">GBL § 198-a (d) (2).</w:t>
      </w:r>
    </w:p>
    <w:p>
      <w:pPr>
        <w:spacing w:after="0" w:line="480"/>
        <w:ind w:firstLine="720"/>
        <w:jc w:val="both"/>
      </w:pPr>
      <w:r>
        <w:rPr>
          <w:rFonts w:ascii="Times New Roman" w:cs="Times New Roman" w:eastAsia="Times New Roman" w:hAnsi="Times New Roman"/>
          <w:sz w:val="24"/>
          <w:szCs w:val="24"/>
        </w:rPr>
        <w:t xml:space="preserve">That subdivision contains </w:t>
      </w:r>
      <w:r>
        <w:rPr>
          <w:rFonts w:ascii="Times New Roman" w:cs="Times New Roman" w:eastAsia="Times New Roman" w:hAnsi="Times New Roman"/>
          <w:b/>
          <w:bCs/>
          <w:sz w:val="24"/>
          <w:szCs w:val="24"/>
        </w:rPr>
        <w:t xml:space="preserve">no</w:t>
      </w:r>
      <w:r>
        <w:rPr>
          <w:rFonts w:ascii="Times New Roman" w:cs="Times New Roman" w:eastAsia="Times New Roman" w:hAnsi="Times New Roman"/>
          <w:sz w:val="24"/>
          <w:szCs w:val="24"/>
        </w:rPr>
        <w:t xml:space="preserve"> “continues to exist” element. None. The statutory trigger is </w:t>
      </w:r>
      <w:r>
        <w:rPr>
          <w:rFonts w:ascii="Times New Roman" w:cs="Times New Roman" w:eastAsia="Times New Roman" w:hAnsi="Times New Roman"/>
          <w:b/>
          <w:bCs/>
          <w:sz w:val="24"/>
          <w:szCs w:val="24"/>
        </w:rPr>
        <w:t xml:space="preserve">historical</w:t>
      </w:r>
      <w:r>
        <w:rPr>
          <w:rFonts w:ascii="Times New Roman" w:cs="Times New Roman" w:eastAsia="Times New Roman" w:hAnsi="Times New Roman"/>
          <w:sz w:val="24"/>
          <w:szCs w:val="24"/>
        </w:rPr>
        <w:t xml:space="preserve">: the vehicle either was, or was not, out of service for thirty days during the covered period. Once the thirtieth day passes, the presumption attaches. Nothing in the text permits it to detach because the manufacturer later effects a repair.</w:t>
      </w:r>
    </w:p>
    <w:p>
      <w:pPr>
        <w:spacing w:after="0" w:line="480"/>
        <w:ind w:firstLine="720"/>
        <w:jc w:val="both"/>
      </w:pPr>
      <w:r>
        <w:rPr>
          <w:rFonts w:ascii="Times New Roman" w:cs="Times New Roman" w:eastAsia="Times New Roman" w:hAnsi="Times New Roman"/>
          <w:sz w:val="24"/>
          <w:szCs w:val="24"/>
        </w:rPr>
        <w:t xml:space="preserve">The consequences of the contrary rule are intolerable and illustrate why it cannot be law. If a vehicle’s operability on the hearing date defeated a thirty-day claim, then </w:t>
      </w:r>
      <w:r>
        <w:rPr>
          <w:rFonts w:ascii="Times New Roman" w:cs="Times New Roman" w:eastAsia="Times New Roman" w:hAnsi="Times New Roman"/>
          <w:b/>
          <w:bCs/>
          <w:sz w:val="24"/>
          <w:szCs w:val="24"/>
        </w:rPr>
        <w:t xml:space="preserve">every</w:t>
      </w:r>
      <w:r>
        <w:rPr>
          <w:rFonts w:ascii="Times New Roman" w:cs="Times New Roman" w:eastAsia="Times New Roman" w:hAnsi="Times New Roman"/>
          <w:sz w:val="24"/>
          <w:szCs w:val="24"/>
        </w:rPr>
        <w:t xml:space="preserve"> manufacturer could defeat </w:t>
      </w:r>
      <w:r>
        <w:rPr>
          <w:rFonts w:ascii="Times New Roman" w:cs="Times New Roman" w:eastAsia="Times New Roman" w:hAnsi="Times New Roman"/>
          <w:b/>
          <w:bCs/>
          <w:sz w:val="24"/>
          <w:szCs w:val="24"/>
        </w:rPr>
        <w:t xml:space="preserve">every</w:t>
      </w:r>
      <w:r>
        <w:rPr>
          <w:rFonts w:ascii="Times New Roman" w:cs="Times New Roman" w:eastAsia="Times New Roman" w:hAnsi="Times New Roman"/>
          <w:sz w:val="24"/>
          <w:szCs w:val="24"/>
        </w:rPr>
        <w:t xml:space="preserve"> such claim by the simple expedient of repairing the vehicle before the hearing. The thirty-day prong would be a dead letter. A consumer whose vehicle sat disabled for four months would have no remedy so long as it started on the morning of the arbitration. The Legislature did not enact a statute that self-destructs on contact with a competent service department.</w:t>
      </w:r>
    </w:p>
    <w:p>
      <w:pPr>
        <w:spacing w:after="0" w:line="480"/>
        <w:ind w:firstLine="720"/>
        <w:jc w:val="both"/>
      </w:pPr>
      <w:r>
        <w:rPr>
          <w:rFonts w:ascii="Times New Roman" w:cs="Times New Roman" w:eastAsia="Times New Roman" w:hAnsi="Times New Roman"/>
          <w:sz w:val="24"/>
          <w:szCs w:val="24"/>
        </w:rPr>
        <w:t xml:space="preserve">The arbitrator applied the standard </w:t>
      </w:r>
      <w:r>
        <w:rPr>
          <w:rFonts w:ascii="Times New Roman" w:cs="Times New Roman" w:eastAsia="Times New Roman" w:hAnsi="Times New Roman"/>
          <w:i/>
          <w:iCs/>
          <w:sz w:val="24"/>
          <w:szCs w:val="24"/>
        </w:rPr>
        <w:t xml:space="preserve">DaimlerChrysler</w:t>
      </w:r>
      <w:r>
        <w:rPr>
          <w:rFonts w:ascii="Times New Roman" w:cs="Times New Roman" w:eastAsia="Times New Roman" w:hAnsi="Times New Roman"/>
          <w:sz w:val="24"/>
          <w:szCs w:val="24"/>
        </w:rPr>
        <w:t xml:space="preserve"> forecloses. In doing so she “fail[ed] to abide by the statutory standards” and “exceed[ed] the legislative grant of authority.” </w:t>
      </w:r>
      <w:r>
        <w:rPr>
          <w:rFonts w:ascii="Times New Roman" w:cs="Times New Roman" w:eastAsia="Times New Roman" w:hAnsi="Times New Roman"/>
          <w:i/>
          <w:iCs/>
          <w:sz w:val="24"/>
          <w:szCs w:val="24"/>
        </w:rPr>
        <w:t xml:space="preserve">Leonidou</w:t>
      </w:r>
      <w:r>
        <w:rPr>
          <w:rFonts w:ascii="Times New Roman" w:cs="Times New Roman" w:eastAsia="Times New Roman" w:hAnsi="Times New Roman"/>
          <w:sz w:val="24"/>
          <w:szCs w:val="24"/>
        </w:rPr>
        <w:t xml:space="preserve">, 2020 NY Slip Op 02858; </w:t>
      </w:r>
      <w:r>
        <w:rPr>
          <w:rFonts w:ascii="Times New Roman" w:cs="Times New Roman" w:eastAsia="Times New Roman" w:hAnsi="Times New Roman"/>
          <w:i/>
          <w:iCs/>
          <w:sz w:val="24"/>
          <w:szCs w:val="24"/>
        </w:rPr>
        <w:t xml:space="preserve">see</w:t>
      </w:r>
      <w:r>
        <w:rPr>
          <w:rFonts w:ascii="Times New Roman" w:cs="Times New Roman" w:eastAsia="Times New Roman" w:hAnsi="Times New Roman"/>
          <w:sz w:val="24"/>
          <w:szCs w:val="24"/>
        </w:rPr>
        <w:t xml:space="preserve"> CPLR 7511 (b) (1) (iii).</w:t>
      </w:r>
    </w:p>
    <w:p>
      <w:pPr>
        <w:keepNext/>
        <w:spacing w:after="240" w:before="360" w:line="240"/>
        <w:jc w:val="center"/>
      </w:pPr>
      <w:r>
        <w:rPr>
          <w:rFonts w:ascii="Times New Roman" w:cs="Times New Roman" w:eastAsia="Times New Roman" w:hAnsi="Times New Roman"/>
          <w:b/>
          <w:bCs/>
          <w:caps w:val="false"/>
          <w:sz w:val="24"/>
          <w:szCs w:val="24"/>
        </w:rPr>
        <w:t xml:space="preserve">POINT IV</w:t>
      </w:r>
    </w:p>
    <w:p>
      <w:pPr>
        <w:keepNext/>
        <w:spacing w:after="240" w:before="360" w:line="240"/>
        <w:jc w:val="center"/>
      </w:pPr>
      <w:r>
        <w:rPr>
          <w:rFonts w:ascii="Times New Roman" w:cs="Times New Roman" w:eastAsia="Times New Roman" w:hAnsi="Times New Roman"/>
          <w:b/>
          <w:bCs/>
          <w:caps w:val="false"/>
          <w:sz w:val="24"/>
          <w:szCs w:val="24"/>
        </w:rPr>
        <w:t xml:space="preserve">THE STATUTORY PRONGS ARE DISJUNCTIVE, AND THE THIRTY-DAY PRONG WAS ESTABLISHED BY RESPONDENT’S OWN RECORDS</w:t>
      </w:r>
    </w:p>
    <w:p>
      <w:pPr>
        <w:spacing w:after="0" w:line="480"/>
        <w:ind w:firstLine="720"/>
        <w:jc w:val="both"/>
      </w:pPr>
      <w:r>
        <w:rPr>
          <w:rFonts w:ascii="Times New Roman" w:cs="Times New Roman" w:eastAsia="Times New Roman" w:hAnsi="Times New Roman"/>
          <w:sz w:val="24"/>
          <w:szCs w:val="24"/>
        </w:rPr>
        <w:t xml:space="preserve">Section 198-a (d) establishes a presumption that a reasonable number of repair attempts has been undertaken if, within the first two years or eighteen thousand miles:</w:t>
      </w:r>
    </w:p>
    <w:p>
      <w:pPr>
        <w:spacing w:after="240" w:before="240" w:line="240"/>
        <w:ind w:left="1440" w:right="1440"/>
        <w:jc w:val="left"/>
      </w:pPr>
      <w:r>
        <w:rPr>
          <w:rFonts w:ascii="Times New Roman" w:cs="Times New Roman" w:eastAsia="Times New Roman" w:hAnsi="Times New Roman"/>
          <w:sz w:val="24"/>
          <w:szCs w:val="24"/>
        </w:rPr>
        <w:t xml:space="preserve">“(1) the same nonconformity, defect or condition has been subject to repair four or more times … </w:t>
      </w:r>
      <w:r>
        <w:rPr>
          <w:rFonts w:ascii="Times New Roman" w:cs="Times New Roman" w:eastAsia="Times New Roman" w:hAnsi="Times New Roman"/>
          <w:b/>
          <w:bCs/>
          <w:sz w:val="24"/>
          <w:szCs w:val="24"/>
        </w:rPr>
        <w:t xml:space="preserve">or</w:t>
      </w:r>
      <w:r>
        <w:rPr>
          <w:rFonts w:ascii="Times New Roman" w:cs="Times New Roman" w:eastAsia="Times New Roman" w:hAnsi="Times New Roman"/>
          <w:sz w:val="24"/>
          <w:szCs w:val="24"/>
        </w:rPr>
        <w:t xml:space="preserve"> (2) the vehicle is out of service by reason of repair for a cumulative total of thirty or more calendar days …”</w:t>
      </w:r>
    </w:p>
    <w:p>
      <w:pPr>
        <w:spacing w:after="0" w:line="480"/>
        <w:ind w:firstLine="720"/>
        <w:jc w:val="both"/>
      </w:pPr>
      <w:r>
        <w:rPr>
          <w:rFonts w:ascii="Times New Roman" w:cs="Times New Roman" w:eastAsia="Times New Roman" w:hAnsi="Times New Roman"/>
          <w:sz w:val="24"/>
          <w:szCs w:val="24"/>
        </w:rPr>
        <w:t xml:space="preserve">The disjunctive “or” is not decorative. The prongs are </w:t>
      </w:r>
      <w:r>
        <w:rPr>
          <w:rFonts w:ascii="Times New Roman" w:cs="Times New Roman" w:eastAsia="Times New Roman" w:hAnsi="Times New Roman"/>
          <w:b/>
          <w:bCs/>
          <w:sz w:val="24"/>
          <w:szCs w:val="24"/>
        </w:rPr>
        <w:t xml:space="preserve">independent alternatives</w:t>
      </w:r>
      <w:r>
        <w:rPr>
          <w:rFonts w:ascii="Times New Roman" w:cs="Times New Roman" w:eastAsia="Times New Roman" w:hAnsi="Times New Roman"/>
          <w:sz w:val="24"/>
          <w:szCs w:val="24"/>
        </w:rPr>
        <w:t xml:space="preserve">. A consumer who satisfies either is entitled to the presumption. A consumer need not satisfy both, and a finding against the consumer on one has no bearing on the other.</w:t>
      </w:r>
    </w:p>
    <w:p>
      <w:pPr>
        <w:spacing w:after="0" w:line="480"/>
        <w:ind w:firstLine="720"/>
        <w:jc w:val="both"/>
      </w:pPr>
      <w:r>
        <w:rPr>
          <w:rFonts w:ascii="Times New Roman" w:cs="Times New Roman" w:eastAsia="Times New Roman" w:hAnsi="Times New Roman"/>
          <w:sz w:val="24"/>
          <w:szCs w:val="24"/>
        </w:rPr>
        <w:t xml:space="preserve">This matters because the award’s finding that the vehicle was not subject to four or more repair attempts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dispose of Petitioner’s claim. Petitioner’s claim rests on the thirty-day prong. The only finding that could reach it is the finding that the vehicle was not out of service for thirty days or more.</w:t>
      </w:r>
    </w:p>
    <w:p>
      <w:pPr>
        <w:spacing w:after="0" w:line="480"/>
        <w:ind w:firstLine="720"/>
        <w:jc w:val="both"/>
      </w:pPr>
      <w:r>
        <w:rPr>
          <w:rFonts w:ascii="Times New Roman" w:cs="Times New Roman" w:eastAsia="Times New Roman" w:hAnsi="Times New Roman"/>
          <w:sz w:val="24"/>
          <w:szCs w:val="24"/>
        </w:rPr>
        <w:t xml:space="preserve">That finding has no rational basis. Repair Order #358530 — Respondent’s own document, prepared by Respondent’s own authorized dealer, in Respondent’s own ordinary course of business — establishes:</w:t>
      </w:r>
    </w:p>
    <w:p>
      <w:pPr>
        <w:spacing w:after="60" w:line="240"/>
        <w:ind w:left="1440"/>
      </w:pPr>
      <w:r>
        <w:rPr>
          <w:rFonts w:ascii="Times New Roman" w:cs="Times New Roman" w:eastAsia="Times New Roman" w:hAnsi="Times New Roman"/>
          <w:sz w:val="24"/>
          <w:szCs w:val="24"/>
        </w:rPr>
        <w:t xml:space="preserve">•  Vehicle surrendered for repair: April 3, 2025;</w:t>
      </w:r>
    </w:p>
    <w:p>
      <w:pPr>
        <w:spacing w:after="60" w:line="240"/>
        <w:ind w:left="1440"/>
      </w:pPr>
      <w:r>
        <w:rPr>
          <w:rFonts w:ascii="Times New Roman" w:cs="Times New Roman" w:eastAsia="Times New Roman" w:hAnsi="Times New Roman"/>
          <w:sz w:val="24"/>
          <w:szCs w:val="24"/>
        </w:rPr>
        <w:t xml:space="preserve">•  Notation on the face of the order: </w:t>
      </w:r>
      <w:r>
        <w:rPr>
          <w:rFonts w:ascii="Times New Roman" w:cs="Times New Roman" w:eastAsia="Times New Roman" w:hAnsi="Times New Roman"/>
          <w:i/>
          <w:iCs/>
          <w:sz w:val="24"/>
          <w:szCs w:val="24"/>
        </w:rPr>
        <w:t xml:space="preserve">“VEH. DISABLED”</w:t>
      </w:r>
      <w:r>
        <w:rPr>
          <w:rFonts w:ascii="Times New Roman" w:cs="Times New Roman" w:eastAsia="Times New Roman" w:hAnsi="Times New Roman"/>
          <w:sz w:val="24"/>
          <w:szCs w:val="24"/>
        </w:rPr>
        <w:t xml:space="preserve">;</w:t>
      </w:r>
    </w:p>
    <w:p>
      <w:pPr>
        <w:spacing w:after="60" w:line="240"/>
        <w:ind w:left="1440"/>
      </w:pPr>
      <w:r>
        <w:rPr>
          <w:rFonts w:ascii="Times New Roman" w:cs="Times New Roman" w:eastAsia="Times New Roman" w:hAnsi="Times New Roman"/>
          <w:sz w:val="24"/>
          <w:szCs w:val="24"/>
        </w:rPr>
        <w:t xml:space="preserve">•  Repair invoice closed: August 5, 2025;</w:t>
      </w:r>
    </w:p>
    <w:p>
      <w:pPr>
        <w:spacing w:after="240" w:line="240"/>
        <w:ind w:left="1440"/>
      </w:pPr>
      <w:r>
        <w:rPr>
          <w:rFonts w:ascii="Times New Roman" w:cs="Times New Roman" w:eastAsia="Times New Roman" w:hAnsi="Times New Roman"/>
          <w:sz w:val="24"/>
          <w:szCs w:val="24"/>
        </w:rPr>
        <w:t xml:space="preserve">•  Odometer advance across the entire period: three miles.</w:t>
      </w:r>
    </w:p>
    <w:p>
      <w:pPr>
        <w:spacing w:after="0" w:line="480"/>
        <w:ind w:firstLine="720"/>
        <w:jc w:val="both"/>
      </w:pPr>
      <w:r>
        <w:rPr>
          <w:rFonts w:ascii="Times New Roman" w:cs="Times New Roman" w:eastAsia="Times New Roman" w:hAnsi="Times New Roman"/>
          <w:sz w:val="24"/>
          <w:szCs w:val="24"/>
        </w:rPr>
        <w:t xml:space="preserve">April 3 to August 5 is </w:t>
      </w:r>
      <w:r>
        <w:rPr>
          <w:rFonts w:ascii="Times New Roman" w:cs="Times New Roman" w:eastAsia="Times New Roman" w:hAnsi="Times New Roman"/>
          <w:b/>
          <w:bCs/>
          <w:sz w:val="24"/>
          <w:szCs w:val="24"/>
        </w:rPr>
        <w:t xml:space="preserve">124 calendar days</w:t>
      </w:r>
      <w:r>
        <w:rPr>
          <w:rFonts w:ascii="Times New Roman" w:cs="Times New Roman" w:eastAsia="Times New Roman" w:hAnsi="Times New Roman"/>
          <w:sz w:val="24"/>
          <w:szCs w:val="24"/>
        </w:rPr>
        <w:t xml:space="preserve">. The statutory threshold is thirty. The margin is not close; it is </w:t>
      </w:r>
      <w:r>
        <w:rPr>
          <w:rFonts w:ascii="Times New Roman" w:cs="Times New Roman" w:eastAsia="Times New Roman" w:hAnsi="Times New Roman"/>
          <w:b/>
          <w:bCs/>
          <w:sz w:val="24"/>
          <w:szCs w:val="24"/>
        </w:rPr>
        <w:t xml:space="preserve">4.1 times</w:t>
      </w:r>
      <w:r>
        <w:rPr>
          <w:rFonts w:ascii="Times New Roman" w:cs="Times New Roman" w:eastAsia="Times New Roman" w:hAnsi="Times New Roman"/>
          <w:sz w:val="24"/>
          <w:szCs w:val="24"/>
        </w:rPr>
        <w:t xml:space="preserve"> the requirement. Adding the two days until Petitioner actually recovered the vehicle on August 7 yields 126 days. The span from the first report of the nonconformity on February 12, 2025 to Petitioner’s recovery of the vehicle on August 7, 2025 is 176 days.</w:t>
      </w:r>
    </w:p>
    <w:p>
      <w:pPr>
        <w:spacing w:after="0" w:line="480"/>
        <w:ind w:firstLine="720"/>
        <w:jc w:val="both"/>
      </w:pPr>
      <w:r>
        <w:rPr>
          <w:rFonts w:ascii="Times New Roman" w:cs="Times New Roman" w:eastAsia="Times New Roman" w:hAnsi="Times New Roman"/>
          <w:sz w:val="24"/>
          <w:szCs w:val="24"/>
        </w:rPr>
        <w:t xml:space="preserve">No evidence in the record contradicts any of this, because the evidence </w:t>
      </w:r>
      <w:r>
        <w:rPr>
          <w:rFonts w:ascii="Times New Roman" w:cs="Times New Roman" w:eastAsia="Times New Roman" w:hAnsi="Times New Roman"/>
          <w:i/>
          <w:iCs/>
          <w:sz w:val="24"/>
          <w:szCs w:val="24"/>
        </w:rPr>
        <w:t xml:space="preserve">is</w:t>
      </w:r>
      <w:r>
        <w:rPr>
          <w:rFonts w:ascii="Times New Roman" w:cs="Times New Roman" w:eastAsia="Times New Roman" w:hAnsi="Times New Roman"/>
          <w:sz w:val="24"/>
          <w:szCs w:val="24"/>
        </w:rPr>
        <w:t xml:space="preserve"> Respondent’s. Respondent generated the repair order. Respondent wrote “VEH. DISABLED.” Respondent closed the invoice on August 5. An arbitrator is not free to find that a vehicle was not out of service for thirty days when the manufacturer’s own paperwork says it was out of service for 124. That finding is unsupported by </w:t>
      </w:r>
      <w:r>
        <w:rPr>
          <w:rFonts w:ascii="Times New Roman" w:cs="Times New Roman" w:eastAsia="Times New Roman" w:hAnsi="Times New Roman"/>
          <w:i/>
          <w:iCs/>
          <w:sz w:val="24"/>
          <w:szCs w:val="24"/>
        </w:rPr>
        <w:t xml:space="preserve">any</w:t>
      </w:r>
      <w:r>
        <w:rPr>
          <w:rFonts w:ascii="Times New Roman" w:cs="Times New Roman" w:eastAsia="Times New Roman" w:hAnsi="Times New Roman"/>
          <w:sz w:val="24"/>
          <w:szCs w:val="24"/>
        </w:rPr>
        <w:t xml:space="preserve"> record evidence, let alone “adequate” evidence. </w:t>
      </w:r>
      <w:r>
        <w:rPr>
          <w:rFonts w:ascii="Times New Roman" w:cs="Times New Roman" w:eastAsia="Times New Roman" w:hAnsi="Times New Roman"/>
          <w:i/>
          <w:iCs/>
          <w:sz w:val="24"/>
          <w:szCs w:val="24"/>
        </w:rPr>
        <w:t xml:space="preserve">Motor Veh. Mfrs. Assn.</w:t>
      </w:r>
      <w:r>
        <w:rPr>
          <w:rFonts w:ascii="Times New Roman" w:cs="Times New Roman" w:eastAsia="Times New Roman" w:hAnsi="Times New Roman"/>
          <w:sz w:val="24"/>
          <w:szCs w:val="24"/>
        </w:rPr>
        <w:t xml:space="preserve">, 75 NY2d at 186.</w:t>
      </w:r>
    </w:p>
    <w:p>
      <w:pPr>
        <w:keepNext/>
        <w:spacing w:after="240" w:before="360" w:line="240"/>
        <w:jc w:val="center"/>
      </w:pPr>
      <w:r>
        <w:rPr>
          <w:rFonts w:ascii="Times New Roman" w:cs="Times New Roman" w:eastAsia="Times New Roman" w:hAnsi="Times New Roman"/>
          <w:b/>
          <w:bCs/>
          <w:caps w:val="false"/>
          <w:sz w:val="24"/>
          <w:szCs w:val="24"/>
        </w:rPr>
        <w:t xml:space="preserve">POINT V</w:t>
      </w:r>
    </w:p>
    <w:p>
      <w:pPr>
        <w:keepNext/>
        <w:spacing w:after="240" w:before="360" w:line="240"/>
        <w:jc w:val="center"/>
      </w:pPr>
      <w:r>
        <w:rPr>
          <w:rFonts w:ascii="Times New Roman" w:cs="Times New Roman" w:eastAsia="Times New Roman" w:hAnsi="Times New Roman"/>
          <w:b/>
          <w:bCs/>
          <w:caps w:val="false"/>
          <w:sz w:val="24"/>
          <w:szCs w:val="24"/>
        </w:rPr>
        <w:t xml:space="preserve">A PARTS BACKORDER IS NOT A STATUTORY EXCUSE, AND A LOANER DOES NOT TOLL THE THIRTY-DAY COUNT</w:t>
      </w:r>
    </w:p>
    <w:p>
      <w:pPr>
        <w:spacing w:after="0" w:line="480"/>
        <w:ind w:firstLine="720"/>
        <w:jc w:val="both"/>
      </w:pPr>
      <w:r>
        <w:rPr>
          <w:rFonts w:ascii="Times New Roman" w:cs="Times New Roman" w:eastAsia="Times New Roman" w:hAnsi="Times New Roman"/>
          <w:sz w:val="24"/>
          <w:szCs w:val="24"/>
        </w:rPr>
        <w:t xml:space="preserve">The arbitrator credited Respondent’s explanation that the vehicle </w:t>
      </w:r>
      <w:r>
        <w:rPr>
          <w:rFonts w:ascii="Times New Roman" w:cs="Times New Roman" w:eastAsia="Times New Roman" w:hAnsi="Times New Roman"/>
          <w:i/>
          <w:iCs/>
          <w:sz w:val="24"/>
          <w:szCs w:val="24"/>
        </w:rPr>
        <w:t xml:space="preserve">“needed back order parts which is a challenge in whole industry”</w:t>
      </w:r>
      <w:r>
        <w:rPr>
          <w:rFonts w:ascii="Times New Roman" w:cs="Times New Roman" w:eastAsia="Times New Roman" w:hAnsi="Times New Roman"/>
          <w:sz w:val="24"/>
          <w:szCs w:val="24"/>
        </w:rPr>
        <w:t xml:space="preserve"> and that a </w:t>
      </w:r>
      <w:r>
        <w:rPr>
          <w:rFonts w:ascii="Times New Roman" w:cs="Times New Roman" w:eastAsia="Times New Roman" w:hAnsi="Times New Roman"/>
          <w:i/>
          <w:iCs/>
          <w:sz w:val="24"/>
          <w:szCs w:val="24"/>
        </w:rPr>
        <w:t xml:space="preserve">“loaner [was] provided no charge.”</w:t>
      </w:r>
      <w:r>
        <w:rPr>
          <w:rFonts w:ascii="Times New Roman" w:cs="Times New Roman" w:eastAsia="Times New Roman" w:hAnsi="Times New Roman"/>
          <w:sz w:val="24"/>
          <w:szCs w:val="24"/>
        </w:rPr>
        <w:t xml:space="preserve"> Neither is a defense the Legislature made available.</w:t>
      </w:r>
    </w:p>
    <w:p>
      <w:pPr>
        <w:spacing w:after="0" w:line="480"/>
        <w:ind w:firstLine="720"/>
        <w:jc w:val="both"/>
      </w:pPr>
      <w:r>
        <w:rPr>
          <w:rFonts w:ascii="Times New Roman" w:cs="Times New Roman" w:eastAsia="Times New Roman" w:hAnsi="Times New Roman"/>
          <w:sz w:val="24"/>
          <w:szCs w:val="24"/>
        </w:rPr>
        <w:t xml:space="preserve">Section 198-a (e) specifies — exhaustively — the circumstances that extend the thirty-day period:</w:t>
      </w:r>
    </w:p>
    <w:p>
      <w:pPr>
        <w:spacing w:after="240" w:before="240" w:line="240"/>
        <w:ind w:left="1440" w:right="1440"/>
        <w:jc w:val="left"/>
      </w:pPr>
      <w:r>
        <w:rPr>
          <w:rFonts w:ascii="Times New Roman" w:cs="Times New Roman" w:eastAsia="Times New Roman" w:hAnsi="Times New Roman"/>
          <w:sz w:val="24"/>
          <w:szCs w:val="24"/>
        </w:rPr>
        <w:t xml:space="preserve">“The term of an express warranty … and the thirty day out of service period shall be extended by any time during which repair services are not available to the consumer because of a war, invasion, strike or fire, flood or other natural disaster.”</w:t>
        <w:br/>
        <w:t xml:space="preserve">GBL § 198-a (e).</w:t>
      </w:r>
    </w:p>
    <w:p>
      <w:pPr>
        <w:spacing w:after="0" w:line="480"/>
        <w:ind w:firstLine="720"/>
        <w:jc w:val="both"/>
      </w:pPr>
      <w:r>
        <w:rPr>
          <w:rFonts w:ascii="Times New Roman" w:cs="Times New Roman" w:eastAsia="Times New Roman" w:hAnsi="Times New Roman"/>
          <w:sz w:val="24"/>
          <w:szCs w:val="24"/>
        </w:rPr>
        <w:t xml:space="preserve">War. Invasion. Strike. Fire. Flood. Natural disaster. A supply-chain backorder is none of these. The maxim </w:t>
      </w:r>
      <w:r>
        <w:rPr>
          <w:rFonts w:ascii="Times New Roman" w:cs="Times New Roman" w:eastAsia="Times New Roman" w:hAnsi="Times New Roman"/>
          <w:i/>
          <w:iCs/>
          <w:sz w:val="24"/>
          <w:szCs w:val="24"/>
        </w:rPr>
        <w:t xml:space="preserve">expressio unius est exclusio alterius</w:t>
      </w:r>
      <w:r>
        <w:rPr>
          <w:rFonts w:ascii="Times New Roman" w:cs="Times New Roman" w:eastAsia="Times New Roman" w:hAnsi="Times New Roman"/>
          <w:sz w:val="24"/>
          <w:szCs w:val="24"/>
        </w:rPr>
        <w:t xml:space="preserve"> applies with full force: the Legislature enumerated the excuses it would accept, and a parts shortage — however genuine, however industry-wide — is not among them. That allocation of risk is deliberate. The Legislature placed the risk of parts unavailability on the </w:t>
      </w:r>
      <w:r>
        <w:rPr>
          <w:rFonts w:ascii="Times New Roman" w:cs="Times New Roman" w:eastAsia="Times New Roman" w:hAnsi="Times New Roman"/>
          <w:b/>
          <w:bCs/>
          <w:sz w:val="24"/>
          <w:szCs w:val="24"/>
        </w:rPr>
        <w:t xml:space="preserve">manufacturer</w:t>
      </w:r>
      <w:r>
        <w:rPr>
          <w:rFonts w:ascii="Times New Roman" w:cs="Times New Roman" w:eastAsia="Times New Roman" w:hAnsi="Times New Roman"/>
          <w:sz w:val="24"/>
          <w:szCs w:val="24"/>
        </w:rPr>
        <w:t xml:space="preserve">, which controls its own supply chain, rather than on the </w:t>
      </w:r>
      <w:r>
        <w:rPr>
          <w:rFonts w:ascii="Times New Roman" w:cs="Times New Roman" w:eastAsia="Times New Roman" w:hAnsi="Times New Roman"/>
          <w:b/>
          <w:bCs/>
          <w:sz w:val="24"/>
          <w:szCs w:val="24"/>
        </w:rPr>
        <w:t xml:space="preserve">consumer</w:t>
      </w:r>
      <w:r>
        <w:rPr>
          <w:rFonts w:ascii="Times New Roman" w:cs="Times New Roman" w:eastAsia="Times New Roman" w:hAnsi="Times New Roman"/>
          <w:sz w:val="24"/>
          <w:szCs w:val="24"/>
        </w:rPr>
        <w:t xml:space="preserve">, who does not.</w:t>
      </w:r>
    </w:p>
    <w:p>
      <w:pPr>
        <w:spacing w:after="0" w:line="480"/>
        <w:ind w:firstLine="720"/>
        <w:jc w:val="both"/>
      </w:pPr>
      <w:r>
        <w:rPr>
          <w:rFonts w:ascii="Times New Roman" w:cs="Times New Roman" w:eastAsia="Times New Roman" w:hAnsi="Times New Roman"/>
          <w:sz w:val="24"/>
          <w:szCs w:val="24"/>
        </w:rPr>
        <w:t xml:space="preserve">The loaner vehicle is likewise beside the point. The statute counts days the </w:t>
      </w:r>
      <w:r>
        <w:rPr>
          <w:rFonts w:ascii="Times New Roman" w:cs="Times New Roman" w:eastAsia="Times New Roman" w:hAnsi="Times New Roman"/>
          <w:b/>
          <w:bCs/>
          <w:sz w:val="24"/>
          <w:szCs w:val="24"/>
        </w:rPr>
        <w:t xml:space="preserve">vehicle</w:t>
      </w:r>
      <w:r>
        <w:rPr>
          <w:rFonts w:ascii="Times New Roman" w:cs="Times New Roman" w:eastAsia="Times New Roman" w:hAnsi="Times New Roman"/>
          <w:sz w:val="24"/>
          <w:szCs w:val="24"/>
        </w:rPr>
        <w:t xml:space="preserve"> is out of service by reason of repair. It does not count days the consumer is without </w:t>
      </w:r>
      <w:r>
        <w:rPr>
          <w:rFonts w:ascii="Times New Roman" w:cs="Times New Roman" w:eastAsia="Times New Roman" w:hAnsi="Times New Roman"/>
          <w:i/>
          <w:iCs/>
          <w:sz w:val="24"/>
          <w:szCs w:val="24"/>
        </w:rPr>
        <w:t xml:space="preserve">any</w:t>
      </w:r>
      <w:r>
        <w:rPr>
          <w:rFonts w:ascii="Times New Roman" w:cs="Times New Roman" w:eastAsia="Times New Roman" w:hAnsi="Times New Roman"/>
          <w:sz w:val="24"/>
          <w:szCs w:val="24"/>
        </w:rPr>
        <w:t xml:space="preserve"> transportation. Had the Legislature intended a loaner to toll the period it would have said so; it said the opposite by enumerating the exclusive extensions in subdivision (e). A consumer who leases a specific vehicle, and pays $314 per month for that vehicle, does not receive the benefit of his bargain because a dealer hands him the keys to something else for four months.</w:t>
      </w:r>
    </w:p>
    <w:p>
      <w:pPr>
        <w:spacing w:after="0" w:line="480"/>
        <w:ind w:firstLine="720"/>
        <w:jc w:val="both"/>
      </w:pPr>
      <w:r>
        <w:rPr>
          <w:rFonts w:ascii="Times New Roman" w:cs="Times New Roman" w:eastAsia="Times New Roman" w:hAnsi="Times New Roman"/>
          <w:sz w:val="24"/>
          <w:szCs w:val="24"/>
        </w:rPr>
        <w:t xml:space="preserve">The award’s further recitation that there is </w:t>
      </w:r>
      <w:r>
        <w:rPr>
          <w:rFonts w:ascii="Times New Roman" w:cs="Times New Roman" w:eastAsia="Times New Roman" w:hAnsi="Times New Roman"/>
          <w:i/>
          <w:iCs/>
          <w:sz w:val="24"/>
          <w:szCs w:val="24"/>
        </w:rPr>
        <w:t xml:space="preserve">“no guarantee by any manufacturer of a defect free car”</w:t>
      </w:r>
      <w:r>
        <w:rPr>
          <w:rFonts w:ascii="Times New Roman" w:cs="Times New Roman" w:eastAsia="Times New Roman" w:hAnsi="Times New Roman"/>
          <w:sz w:val="24"/>
          <w:szCs w:val="24"/>
        </w:rPr>
        <w:t xml:space="preserve"> is true, irrelevant, and revealing. The Lemon Law does not require a defect-free car. It requires that </w:t>
      </w:r>
      <w:r>
        <w:rPr>
          <w:rFonts w:ascii="Times New Roman" w:cs="Times New Roman" w:eastAsia="Times New Roman" w:hAnsi="Times New Roman"/>
          <w:b/>
          <w:bCs/>
          <w:sz w:val="24"/>
          <w:szCs w:val="24"/>
        </w:rPr>
        <w:t xml:space="preserve">when</w:t>
      </w:r>
      <w:r>
        <w:rPr>
          <w:rFonts w:ascii="Times New Roman" w:cs="Times New Roman" w:eastAsia="Times New Roman" w:hAnsi="Times New Roman"/>
          <w:sz w:val="24"/>
          <w:szCs w:val="24"/>
        </w:rPr>
        <w:t xml:space="preserve"> a nonconformity arises within the covered period, the manufacturer conform the vehicle to its warranty within a reasonable number of attempts or a reasonable time — and it fixes thirty days as the outer bound of reasonableness for out-of-service time. By substituting a general observation about the automobile industry for the statutory test, the arbitrator decided a case the Legislature did not present to her.</w:t>
      </w:r>
    </w:p>
    <w:p>
      <w:pPr>
        <w:keepNext/>
        <w:spacing w:after="240" w:before="360" w:line="240"/>
        <w:jc w:val="center"/>
      </w:pPr>
      <w:r>
        <w:rPr>
          <w:rFonts w:ascii="Times New Roman" w:cs="Times New Roman" w:eastAsia="Times New Roman" w:hAnsi="Times New Roman"/>
          <w:b/>
          <w:bCs/>
          <w:caps w:val="false"/>
          <w:sz w:val="24"/>
          <w:szCs w:val="24"/>
        </w:rPr>
        <w:t xml:space="preserve">POINT VI</w:t>
      </w:r>
    </w:p>
    <w:p>
      <w:pPr>
        <w:keepNext/>
        <w:spacing w:after="240" w:before="360" w:line="240"/>
        <w:jc w:val="center"/>
      </w:pPr>
      <w:r>
        <w:rPr>
          <w:rFonts w:ascii="Times New Roman" w:cs="Times New Roman" w:eastAsia="Times New Roman" w:hAnsi="Times New Roman"/>
          <w:b/>
          <w:bCs/>
          <w:caps w:val="false"/>
          <w:sz w:val="24"/>
          <w:szCs w:val="24"/>
        </w:rPr>
        <w:t xml:space="preserve">THE AWARD’S MATERIAL MISSTATEMENTS OF THE RECORD CONFIRM THE ABSENCE OF REASONED DECISION-MAKING</w:t>
      </w:r>
    </w:p>
    <w:p>
      <w:pPr>
        <w:spacing w:after="0" w:line="480"/>
        <w:ind w:firstLine="720"/>
        <w:jc w:val="both"/>
      </w:pPr>
      <w:r>
        <w:rPr>
          <w:rFonts w:ascii="Times New Roman" w:cs="Times New Roman" w:eastAsia="Times New Roman" w:hAnsi="Times New Roman"/>
          <w:sz w:val="24"/>
          <w:szCs w:val="24"/>
        </w:rPr>
        <w:t xml:space="preserve">Petitioner does not seek vacatur because the award contains typographical errors. He identifies them because, in the aggregate, they bear on whether the arbitrator engaged with the record she was charged with deciding.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The award states</w:t>
            </w:r>
          </w:p>
        </w:tc>
        <w:tc>
          <w:tcPr>
            <w:tcW w:type="dxa" w:w="496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The record establishes</w:t>
            </w:r>
          </w:p>
        </w:tc>
      </w:tr>
      <w:tr>
        <w:trPr>
          <w:tblHeader w:val="false"/>
        </w:trPr>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“new 2024 WAGON ION”</w:t>
            </w:r>
          </w:p>
        </w:tc>
        <w:tc>
          <w:tcPr>
            <w:tcW w:type="dxa" w:w="4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2024 Hyundai IONIQ 5 SEL AWD, VIN KM8KNDDF9RU253237</w:t>
            </w:r>
          </w:p>
        </w:tc>
      </w:tr>
      <w:tr>
        <w:trPr>
          <w:tblHeader w:val="false"/>
        </w:trPr>
        <w:tc>
          <w:tcPr>
            <w:tcW w:type="dxa" w:w="44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“Hyundai Brooklyn”</w:t>
            </w:r>
          </w:p>
        </w:tc>
        <w:tc>
          <w:tcPr>
            <w:tcW w:type="dxa" w:w="496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Koeppel Hyundai, Long Island City, New York</w:t>
            </w:r>
          </w:p>
        </w:tc>
      </w:tr>
      <w:tr>
        <w:trPr>
          <w:tblHeader w:val="false"/>
        </w:trPr>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 258530”</w:t>
            </w:r>
          </w:p>
        </w:tc>
        <w:tc>
          <w:tcPr>
            <w:tcW w:type="dxa" w:w="4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Repair Order #358530 — the controlling 124-day order</w:t>
            </w:r>
          </w:p>
        </w:tc>
      </w:tr>
      <w:tr>
        <w:trPr>
          <w:tblHeader w:val="false"/>
        </w:trPr>
        <w:tc>
          <w:tcPr>
            <w:tcW w:type="dxa" w:w="44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 allegation that the use and value is impaired”</w:t>
            </w:r>
          </w:p>
        </w:tc>
        <w:tc>
          <w:tcPr>
            <w:tcW w:type="dxa" w:w="496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award’s own consumer summary, in the very same paragraph, recites the allegations of impairment</w:t>
            </w:r>
          </w:p>
        </w:tc>
      </w:tr>
    </w:tbl>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The award also conflates two distinct repair episodes, attributing to the February 2026 no-start a repair order number that belongs to a separate visit six months earlier.</w:t>
      </w:r>
      <w:r>
        <w:rPr>
          <w:rStyle w:val="FootnoteReference"/>
        </w:rPr>
        <w:footnoteReference w:id="1"/>
      </w:r>
      <w:r>
        <w:rPr>
          <w:rFonts w:ascii="Times New Roman" w:cs="Times New Roman" w:eastAsia="Times New Roman" w:hAnsi="Times New Roman"/>
          <w:sz w:val="24"/>
          <w:szCs w:val="24"/>
        </w:rPr>
        <w:t xml:space="preserve"> The arbitrator thus assigned to the February 2026 incident both an incorrect repair order number and an incorrect mileage: Respondent’s own records place that event under Repair Order #370267 at 11,230 miles, not “RO 363888” at 8,662 miles — the latter an August 2025 visit at which no work was performed.</w:t>
      </w:r>
    </w:p>
    <w:p>
      <w:pPr>
        <w:spacing w:after="0" w:line="480"/>
        <w:ind w:firstLine="720"/>
        <w:jc w:val="both"/>
      </w:pPr>
      <w:r>
        <w:rPr>
          <w:rFonts w:ascii="Times New Roman" w:cs="Times New Roman" w:eastAsia="Times New Roman" w:hAnsi="Times New Roman"/>
          <w:sz w:val="24"/>
          <w:szCs w:val="24"/>
        </w:rPr>
        <w:t xml:space="preserve">Set against this, the award’s entire analysis of Respondent’s position consists of five words: </w:t>
      </w:r>
      <w:r>
        <w:rPr>
          <w:rFonts w:ascii="Times New Roman" w:cs="Times New Roman" w:eastAsia="Times New Roman" w:hAnsi="Times New Roman"/>
          <w:i/>
          <w:iCs/>
          <w:sz w:val="24"/>
          <w:szCs w:val="24"/>
        </w:rPr>
        <w:t xml:space="preserve">“The manufacturer’s argument is compelling.”</w:t>
      </w:r>
      <w:r>
        <w:rPr>
          <w:rFonts w:ascii="Times New Roman" w:cs="Times New Roman" w:eastAsia="Times New Roman" w:hAnsi="Times New Roman"/>
          <w:sz w:val="24"/>
          <w:szCs w:val="24"/>
        </w:rPr>
        <w:t xml:space="preserve"> No reasoning is offered. No evidence is cited. No statutory provision is applied. A conclusion is announced.</w:t>
      </w:r>
    </w:p>
    <w:p>
      <w:pPr>
        <w:spacing w:after="0" w:line="480"/>
        <w:ind w:firstLine="720"/>
        <w:jc w:val="both"/>
      </w:pPr>
      <w:r>
        <w:rPr>
          <w:rFonts w:ascii="Times New Roman" w:cs="Times New Roman" w:eastAsia="Times New Roman" w:hAnsi="Times New Roman"/>
          <w:sz w:val="24"/>
          <w:szCs w:val="24"/>
        </w:rPr>
        <w:t xml:space="preserve">Due process in a compulsory arbitration requires more. </w:t>
      </w:r>
      <w:r>
        <w:rPr>
          <w:rFonts w:ascii="Times New Roman" w:cs="Times New Roman" w:eastAsia="Times New Roman" w:hAnsi="Times New Roman"/>
          <w:i/>
          <w:iCs/>
          <w:sz w:val="24"/>
          <w:szCs w:val="24"/>
        </w:rPr>
        <w:t xml:space="preserve">See Motor Veh. Mfrs. Assn.</w:t>
      </w:r>
      <w:r>
        <w:rPr>
          <w:rFonts w:ascii="Times New Roman" w:cs="Times New Roman" w:eastAsia="Times New Roman" w:hAnsi="Times New Roman"/>
          <w:sz w:val="24"/>
          <w:szCs w:val="24"/>
        </w:rPr>
        <w:t xml:space="preserve">, 75 NY2d at 186. Where an award misidentifies the vehicle, misidentifies the selling dealer, mistypes the controlling repair order, conflates two repair episodes, denies that allegations were made which the award itself recites, and disposes of the merits in five conclusory words, the cumulative record does not reflect the “specific procedure outlined in the statute and regulations” that the Court of Appeals identified as the safeguard justifying compulsory arbitration. </w:t>
      </w:r>
      <w:r>
        <w:rPr>
          <w:rFonts w:ascii="Times New Roman" w:cs="Times New Roman" w:eastAsia="Times New Roman" w:hAnsi="Times New Roman"/>
          <w:i/>
          <w:iCs/>
          <w:sz w:val="24"/>
          <w:szCs w:val="24"/>
        </w:rPr>
        <w:t xml:space="preserve">Id.</w:t>
      </w:r>
    </w:p>
    <w:p>
      <w:pPr>
        <w:keepNext/>
        <w:spacing w:after="240" w:before="360" w:line="240"/>
        <w:jc w:val="center"/>
      </w:pPr>
      <w:r>
        <w:rPr>
          <w:rFonts w:ascii="Times New Roman" w:cs="Times New Roman" w:eastAsia="Times New Roman" w:hAnsi="Times New Roman"/>
          <w:b/>
          <w:bCs/>
          <w:caps w:val="false"/>
          <w:sz w:val="24"/>
          <w:szCs w:val="24"/>
        </w:rPr>
        <w:t xml:space="preserve">POINT VII</w:t>
      </w:r>
    </w:p>
    <w:p>
      <w:pPr>
        <w:keepNext/>
        <w:spacing w:after="240" w:before="360" w:line="240"/>
        <w:jc w:val="center"/>
      </w:pPr>
      <w:r>
        <w:rPr>
          <w:rFonts w:ascii="Times New Roman" w:cs="Times New Roman" w:eastAsia="Times New Roman" w:hAnsi="Times New Roman"/>
          <w:b/>
          <w:bCs/>
          <w:caps w:val="false"/>
          <w:sz w:val="24"/>
          <w:szCs w:val="24"/>
        </w:rPr>
        <w:t xml:space="preserve">PETITIONER’S REFUSAL OF CONDITIONED SETTLEMENT OFFERS IS NOT EVIDENCE THAT THE VEHICLE CONFORMED</w:t>
      </w:r>
    </w:p>
    <w:p>
      <w:pPr>
        <w:spacing w:after="0" w:line="480"/>
        <w:ind w:firstLine="720"/>
        <w:jc w:val="both"/>
      </w:pPr>
      <w:r>
        <w:rPr>
          <w:rFonts w:ascii="Times New Roman" w:cs="Times New Roman" w:eastAsia="Times New Roman" w:hAnsi="Times New Roman"/>
          <w:sz w:val="24"/>
          <w:szCs w:val="24"/>
        </w:rPr>
        <w:t xml:space="preserve">The award records that Petitioner declined Respondent’s offers </w:t>
      </w:r>
      <w:r>
        <w:rPr>
          <w:rFonts w:ascii="Times New Roman" w:cs="Times New Roman" w:eastAsia="Times New Roman" w:hAnsi="Times New Roman"/>
          <w:i/>
          <w:iCs/>
          <w:sz w:val="24"/>
          <w:szCs w:val="24"/>
        </w:rPr>
        <w:t xml:space="preserve">“not due to the $ amount but was concerned about a clause related to the state of CA that he did not think applied.”</w:t>
      </w:r>
      <w:r>
        <w:rPr>
          <w:rFonts w:ascii="Times New Roman" w:cs="Times New Roman" w:eastAsia="Times New Roman" w:hAnsi="Times New Roman"/>
          <w:sz w:val="24"/>
          <w:szCs w:val="24"/>
        </w:rPr>
        <w:t xml:space="preserve"> That is the arbitrator’s own finding, in her own words, and it is fatal to any suggestion that Petitioner was holding out for money.</w:t>
      </w:r>
    </w:p>
    <w:p>
      <w:pPr>
        <w:spacing w:after="0" w:line="480"/>
        <w:ind w:firstLine="720"/>
        <w:jc w:val="both"/>
      </w:pPr>
      <w:r>
        <w:rPr>
          <w:rFonts w:ascii="Times New Roman" w:cs="Times New Roman" w:eastAsia="Times New Roman" w:hAnsi="Times New Roman"/>
          <w:sz w:val="24"/>
          <w:szCs w:val="24"/>
        </w:rPr>
        <w:t xml:space="preserve">The concern was well founded. Payment was conditioned on a notarized release whose unknown-claims waiver invokes California Civil Code § 1542 “as well as any similar law of any state or territory of the United States,” alongside sweeping confidentiality and indemnity provisions. This is a New York lease, of a New York-registered vehicle, by a New York consumer, under a New York statute, in an arbitration administered by the New York Attorney General. A consumer does not forfeit his statutory rights by declining to sign away unknown claims under the standards of a State with no connection to the transaction. Section 198-a (n) renders void any waiver of a consumer’s rights under the section, and a release conditioned on a foreign-law unknown-claims waiver implicates precisely that prohibition.</w:t>
      </w:r>
    </w:p>
    <w:p>
      <w:pPr>
        <w:spacing w:after="0" w:line="480"/>
        <w:ind w:firstLine="720"/>
        <w:jc w:val="both"/>
      </w:pPr>
      <w:r>
        <w:rPr>
          <w:rFonts w:ascii="Times New Roman" w:cs="Times New Roman" w:eastAsia="Times New Roman" w:hAnsi="Times New Roman"/>
          <w:sz w:val="24"/>
          <w:szCs w:val="24"/>
        </w:rPr>
        <w:t xml:space="preserve">Nor did Petitioner simply refuse. The record shows that on September 25, 2025 he accepted Respondent’s $4,000 cash option in writing and asked to begin next steps; Respondent transmitted its release the following day; on September 30, 2025 Petitioner requested three targeted modifications — limiting the release to the defect at issue, narrowing the confidentiality clause, and removing the section 1542 waiver as inapplicable in New York — and Respondent did not agree to any of them. (Ex. I.) The settlement failed on Respondent’s release terms, not on price. More fundamentally: a refusal to settle is not evidence of conformity. Whether Petitioner should have accepted $5,388.51 in January 2026 has no logical bearing on whether the vehicle sat disabled for 124 days in 2025. The two questions are unrelated.</w:t>
      </w:r>
    </w:p>
    <w:p>
      <w:pPr>
        <w:spacing w:after="0" w:line="480"/>
        <w:ind w:firstLine="720"/>
        <w:jc w:val="both"/>
      </w:pPr>
      <w:r>
        <w:rPr>
          <w:rFonts w:ascii="Times New Roman" w:cs="Times New Roman" w:eastAsia="Times New Roman" w:hAnsi="Times New Roman"/>
          <w:sz w:val="24"/>
          <w:szCs w:val="24"/>
        </w:rPr>
        <w:t xml:space="preserve">If the offers bear on anything, they bear against Respondent. In </w:t>
      </w:r>
      <w:r>
        <w:rPr>
          <w:rFonts w:ascii="Times New Roman" w:cs="Times New Roman" w:eastAsia="Times New Roman" w:hAnsi="Times New Roman"/>
          <w:b/>
          <w:bCs/>
          <w:sz w:val="24"/>
          <w:szCs w:val="24"/>
        </w:rPr>
        <w:t xml:space="preserve">August 2025</w:t>
      </w:r>
      <w:r>
        <w:rPr>
          <w:rFonts w:ascii="Times New Roman" w:cs="Times New Roman" w:eastAsia="Times New Roman" w:hAnsi="Times New Roman"/>
          <w:sz w:val="24"/>
          <w:szCs w:val="24"/>
        </w:rPr>
        <w:t xml:space="preserve"> Respondent offered a </w:t>
      </w:r>
      <w:r>
        <w:rPr>
          <w:rFonts w:ascii="Times New Roman" w:cs="Times New Roman" w:eastAsia="Times New Roman" w:hAnsi="Times New Roman"/>
          <w:b/>
          <w:bCs/>
          <w:sz w:val="24"/>
          <w:szCs w:val="24"/>
        </w:rPr>
        <w:t xml:space="preserve">full repurchase of $7,977.00 and expressly waived the mileage deduction</w:t>
      </w:r>
      <w:r>
        <w:rPr>
          <w:rFonts w:ascii="Times New Roman" w:cs="Times New Roman" w:eastAsia="Times New Roman" w:hAnsi="Times New Roman"/>
          <w:sz w:val="24"/>
          <w:szCs w:val="24"/>
        </w:rPr>
        <w:t xml:space="preserve"> — a concession no manufacturer makes for a conforming vehicle. In </w:t>
      </w:r>
      <w:r>
        <w:rPr>
          <w:rFonts w:ascii="Times New Roman" w:cs="Times New Roman" w:eastAsia="Times New Roman" w:hAnsi="Times New Roman"/>
          <w:b/>
          <w:bCs/>
          <w:sz w:val="24"/>
          <w:szCs w:val="24"/>
        </w:rPr>
        <w:t xml:space="preserve">January 2026</w:t>
      </w:r>
      <w:r>
        <w:rPr>
          <w:rFonts w:ascii="Times New Roman" w:cs="Times New Roman" w:eastAsia="Times New Roman" w:hAnsi="Times New Roman"/>
          <w:sz w:val="24"/>
          <w:szCs w:val="24"/>
        </w:rPr>
        <w:t xml:space="preserve"> it reduced the figure to $5,388.51 and computed the deduction from the wrong odometer basis. By </w:t>
      </w:r>
      <w:r>
        <w:rPr>
          <w:rFonts w:ascii="Times New Roman" w:cs="Times New Roman" w:eastAsia="Times New Roman" w:hAnsi="Times New Roman"/>
          <w:b/>
          <w:bCs/>
          <w:sz w:val="24"/>
          <w:szCs w:val="24"/>
        </w:rPr>
        <w:t xml:space="preserve">May 2026</w:t>
      </w:r>
      <w:r>
        <w:rPr>
          <w:rFonts w:ascii="Times New Roman" w:cs="Times New Roman" w:eastAsia="Times New Roman" w:hAnsi="Times New Roman"/>
          <w:sz w:val="24"/>
          <w:szCs w:val="24"/>
        </w:rPr>
        <w:t xml:space="preserve"> Respondent’s position — its January offer having lapsed by its own sixty-day term — had fallen to $2,500, a figure conveyed only through Petitioner’s then-counsel and never in a writing of Respondent’s own. A party that offers to repurchase a vehicle, then lets the offer lapse and cuts its number as arbitration nears, does not credibly maintain that the vehicle never failed to conform.</w:t>
      </w:r>
    </w:p>
    <w:p>
      <w:pPr>
        <w:spacing w:after="0" w:line="480"/>
        <w:ind w:firstLine="720"/>
        <w:jc w:val="both"/>
      </w:pPr>
      <w:r>
        <w:rPr>
          <w:rFonts w:ascii="Times New Roman" w:cs="Times New Roman" w:eastAsia="Times New Roman" w:hAnsi="Times New Roman"/>
          <w:sz w:val="24"/>
          <w:szCs w:val="24"/>
        </w:rPr>
        <w:t xml:space="preserve">Finally, the award forecloses any mootness argument. It records that Petitioner extended his lease </w:t>
      </w:r>
      <w:r>
        <w:rPr>
          <w:rFonts w:ascii="Times New Roman" w:cs="Times New Roman" w:eastAsia="Times New Roman" w:hAnsi="Times New Roman"/>
          <w:i/>
          <w:iCs/>
          <w:sz w:val="24"/>
          <w:szCs w:val="24"/>
        </w:rPr>
        <w:t xml:space="preserve">“as he can have it available for inspection if needed.”</w:t>
      </w:r>
      <w:r>
        <w:rPr>
          <w:rFonts w:ascii="Times New Roman" w:cs="Times New Roman" w:eastAsia="Times New Roman" w:hAnsi="Times New Roman"/>
          <w:sz w:val="24"/>
          <w:szCs w:val="24"/>
        </w:rPr>
        <w:t xml:space="preserve"> Petitioner remains the lessee. The vehicle remains available. Relief remains capable of being granted.</w:t>
      </w:r>
    </w:p>
    <w:p>
      <w:pPr>
        <w:keepNext/>
        <w:spacing w:after="240" w:before="360" w:line="240"/>
        <w:jc w:val="center"/>
      </w:pPr>
      <w:r>
        <w:rPr>
          <w:rFonts w:ascii="Times New Roman" w:cs="Times New Roman" w:eastAsia="Times New Roman" w:hAnsi="Times New Roman"/>
          <w:b/>
          <w:bCs/>
          <w:caps w:val="false"/>
          <w:sz w:val="24"/>
          <w:szCs w:val="24"/>
        </w:rPr>
        <w:t xml:space="preserve">POINT VIII</w:t>
      </w:r>
    </w:p>
    <w:p>
      <w:pPr>
        <w:keepNext/>
        <w:spacing w:after="240" w:before="360" w:line="240"/>
        <w:jc w:val="center"/>
      </w:pPr>
      <w:r>
        <w:rPr>
          <w:rFonts w:ascii="Times New Roman" w:cs="Times New Roman" w:eastAsia="Times New Roman" w:hAnsi="Times New Roman"/>
          <w:b/>
          <w:bCs/>
          <w:caps w:val="false"/>
          <w:sz w:val="24"/>
          <w:szCs w:val="24"/>
        </w:rPr>
        <w:t xml:space="preserve">PETITIONER IS ENTITLED TO RELIEF AND TO ATTORNEY’S FEES</w:t>
      </w:r>
    </w:p>
    <w:p>
      <w:pPr>
        <w:spacing w:after="0" w:line="480"/>
        <w:ind w:firstLine="720"/>
        <w:jc w:val="both"/>
      </w:pPr>
      <w:r>
        <w:rPr>
          <w:rFonts w:ascii="Times New Roman" w:cs="Times New Roman" w:eastAsia="Times New Roman" w:hAnsi="Times New Roman"/>
          <w:sz w:val="24"/>
          <w:szCs w:val="24"/>
        </w:rPr>
        <w:t xml:space="preserve">Upon vacatur, CPLR 7511 (d) permits this Court to remit for rehearing before a new arbitrator. Petitioner respectfully submits that remittal to a </w:t>
      </w:r>
      <w:r>
        <w:rPr>
          <w:rFonts w:ascii="Times New Roman" w:cs="Times New Roman" w:eastAsia="Times New Roman" w:hAnsi="Times New Roman"/>
          <w:b/>
          <w:bCs/>
          <w:sz w:val="24"/>
          <w:szCs w:val="24"/>
        </w:rPr>
        <w:t xml:space="preserve">different</w:t>
      </w:r>
      <w:r>
        <w:rPr>
          <w:rFonts w:ascii="Times New Roman" w:cs="Times New Roman" w:eastAsia="Times New Roman" w:hAnsi="Times New Roman"/>
          <w:sz w:val="24"/>
          <w:szCs w:val="24"/>
        </w:rPr>
        <w:t xml:space="preserve"> arbitrator is warranted, given the nature and number of the misstatements identified above.</w:t>
      </w:r>
    </w:p>
    <w:p>
      <w:pPr>
        <w:spacing w:after="0" w:line="480"/>
        <w:ind w:firstLine="720"/>
        <w:jc w:val="both"/>
      </w:pPr>
      <w:r>
        <w:rPr>
          <w:rFonts w:ascii="Times New Roman" w:cs="Times New Roman" w:eastAsia="Times New Roman" w:hAnsi="Times New Roman"/>
          <w:sz w:val="24"/>
          <w:szCs w:val="24"/>
        </w:rPr>
        <w:t xml:space="preserve">On the merits, section 198-a (c) (1) directs that where the manufacturer fails to conform the vehicle after a reasonable number of attempts, it shall, </w:t>
      </w:r>
      <w:r>
        <w:rPr>
          <w:rFonts w:ascii="Times New Roman" w:cs="Times New Roman" w:eastAsia="Times New Roman" w:hAnsi="Times New Roman"/>
          <w:b/>
          <w:bCs/>
          <w:sz w:val="24"/>
          <w:szCs w:val="24"/>
        </w:rPr>
        <w:t xml:space="preserve">at the consumer’s option</w:t>
      </w:r>
      <w:r>
        <w:rPr>
          <w:rFonts w:ascii="Times New Roman" w:cs="Times New Roman" w:eastAsia="Times New Roman" w:hAnsi="Times New Roman"/>
          <w:sz w:val="24"/>
          <w:szCs w:val="24"/>
        </w:rPr>
        <w:t xml:space="preserve">, replace the vehicle or accept its return and refund the full purchase price. For a leased vehicle, the refund runs to the lessee and comprises all sums paid — capitalized cost reduction, monthly payments, fees, and charges — together with incidental costs, less only the statutory mileage allowance.</w:t>
      </w:r>
    </w:p>
    <w:p>
      <w:pPr>
        <w:spacing w:after="0" w:line="480"/>
        <w:ind w:firstLine="720"/>
        <w:jc w:val="both"/>
      </w:pPr>
      <w:r>
        <w:rPr>
          <w:rFonts w:ascii="Times New Roman" w:cs="Times New Roman" w:eastAsia="Times New Roman" w:hAnsi="Times New Roman"/>
          <w:sz w:val="24"/>
          <w:szCs w:val="24"/>
        </w:rPr>
        <w:t xml:space="preserve">Any mileage deduction must be computed from </w:t>
      </w:r>
      <w:r>
        <w:rPr>
          <w:rFonts w:ascii="Times New Roman" w:cs="Times New Roman" w:eastAsia="Times New Roman" w:hAnsi="Times New Roman"/>
          <w:b/>
          <w:bCs/>
          <w:sz w:val="24"/>
          <w:szCs w:val="24"/>
        </w:rPr>
        <w:t xml:space="preserve">7,026 miles</w:t>
      </w:r>
      <w:r>
        <w:rPr>
          <w:rFonts w:ascii="Times New Roman" w:cs="Times New Roman" w:eastAsia="Times New Roman" w:hAnsi="Times New Roman"/>
          <w:sz w:val="24"/>
          <w:szCs w:val="24"/>
        </w:rPr>
        <w:t xml:space="preserve"> — the odometer reading on February 12, 2025, when the nonconformity was first reported under RO #356398 — not from the 8,148-mile figure Respondent used. Applying to that basis the formula recited in Respondent’s own offers yields </w:t>
      </w:r>
      <w:r>
        <w:rPr>
          <w:rFonts w:ascii="Times New Roman" w:cs="Times New Roman" w:eastAsia="Times New Roman" w:hAnsi="Times New Roman"/>
          <w:b/>
          <w:bCs/>
          <w:sz w:val="24"/>
          <w:szCs w:val="24"/>
        </w:rPr>
        <w:t xml:space="preserve">$3,727.78</w:t>
      </w:r>
      <w:r>
        <w:rPr>
          <w:rFonts w:ascii="Times New Roman" w:cs="Times New Roman" w:eastAsia="Times New Roman" w:hAnsi="Times New Roman"/>
          <w:sz w:val="24"/>
          <w:szCs w:val="24"/>
        </w:rPr>
        <w:t xml:space="preserve">. Petitioner does not concede that any allowance for use is authorized on these facts, and expressly reserves the question whether the statutory formula permits a deduction for mileage below twelve thousand miles. In all events the statutory cap of ten percent ($5,336.08) applies. Petitioner is additionally entitled to documented incidental expenses of </w:t>
      </w:r>
      <w:r>
        <w:rPr>
          <w:rFonts w:ascii="Times New Roman" w:cs="Times New Roman" w:eastAsia="Times New Roman" w:hAnsi="Times New Roman"/>
          <w:b/>
          <w:bCs/>
          <w:sz w:val="24"/>
          <w:szCs w:val="24"/>
        </w:rPr>
        <w:t xml:space="preserve">$1,793.43</w:t>
      </w:r>
      <w:r>
        <w:rPr>
          <w:rFonts w:ascii="Times New Roman" w:cs="Times New Roman" w:eastAsia="Times New Roman" w:hAnsi="Times New Roman"/>
          <w:sz w:val="24"/>
          <w:szCs w:val="24"/>
        </w:rPr>
        <w:t xml:space="preserve">.</w:t>
      </w:r>
    </w:p>
    <w:p>
      <w:pPr>
        <w:spacing w:after="0" w:line="480"/>
        <w:ind w:firstLine="720"/>
        <w:jc w:val="both"/>
      </w:pPr>
      <w:r>
        <w:rPr>
          <w:rFonts w:ascii="Times New Roman" w:cs="Times New Roman" w:eastAsia="Times New Roman" w:hAnsi="Times New Roman"/>
          <w:sz w:val="24"/>
          <w:szCs w:val="24"/>
        </w:rPr>
        <w:t xml:space="preserve">Section 198-a (l) provides that a court </w:t>
      </w:r>
      <w:r>
        <w:rPr>
          <w:rFonts w:ascii="Times New Roman" w:cs="Times New Roman" w:eastAsia="Times New Roman" w:hAnsi="Times New Roman"/>
          <w:b/>
          <w:bCs/>
          <w:sz w:val="24"/>
          <w:szCs w:val="24"/>
        </w:rPr>
        <w:t xml:space="preserve">may</w:t>
      </w:r>
      <w:r>
        <w:rPr>
          <w:rFonts w:ascii="Times New Roman" w:cs="Times New Roman" w:eastAsia="Times New Roman" w:hAnsi="Times New Roman"/>
          <w:sz w:val="24"/>
          <w:szCs w:val="24"/>
        </w:rPr>
        <w:t xml:space="preserve"> award reasonable attorney’s fees to a prevailing consumer or to a consumer who prevails in a proceeding to vacate or modify an arbitration award. Petitioner is presently self-represented and accordingly seeks no fees for his own time; he reserves the right to seek fees under section 198-a (l) should he retain counsel in this proceeding.</w:t>
      </w:r>
    </w:p>
    <w:p>
      <w:r>
        <w:br/>
      </w:r>
    </w:p>
    <w:p>
      <w:pPr>
        <w:keepNext/>
        <w:spacing w:after="280" w:before="400" w:line="240"/>
        <w:jc w:val="center"/>
      </w:pPr>
      <w:r>
        <w:rPr>
          <w:rFonts w:ascii="Times New Roman" w:cs="Times New Roman" w:eastAsia="Times New Roman" w:hAnsi="Times New Roman"/>
          <w:b/>
          <w:bCs/>
          <w:sz w:val="24"/>
          <w:szCs w:val="24"/>
        </w:rPr>
        <w:t xml:space="preserve">CONCLUSION</w:t>
      </w:r>
    </w:p>
    <w:p>
      <w:pPr>
        <w:spacing w:after="0" w:line="480"/>
        <w:ind w:firstLine="720"/>
        <w:jc w:val="both"/>
      </w:pPr>
      <w:r>
        <w:rPr>
          <w:rFonts w:ascii="Times New Roman" w:cs="Times New Roman" w:eastAsia="Times New Roman" w:hAnsi="Times New Roman"/>
          <w:sz w:val="24"/>
          <w:szCs w:val="24"/>
        </w:rPr>
        <w:t xml:space="preserve">This award denies a Lemon Law claim on the ground that the consumer never alleged impairment of use and value, in a document that recites his allegations of impairment of use and value. It finds that a vehicle was not out of service for thirty days, when the manufacturer’s own repair order marks it </w:t>
      </w:r>
      <w:r>
        <w:rPr>
          <w:rFonts w:ascii="Times New Roman" w:cs="Times New Roman" w:eastAsia="Times New Roman" w:hAnsi="Times New Roman"/>
          <w:i/>
          <w:iCs/>
          <w:sz w:val="24"/>
          <w:szCs w:val="24"/>
        </w:rPr>
        <w:t xml:space="preserve">“VEH. DISABLED”</w:t>
      </w:r>
      <w:r>
        <w:rPr>
          <w:rFonts w:ascii="Times New Roman" w:cs="Times New Roman" w:eastAsia="Times New Roman" w:hAnsi="Times New Roman"/>
          <w:sz w:val="24"/>
          <w:szCs w:val="24"/>
        </w:rPr>
        <w:t xml:space="preserve"> for 124. It rests on the vehicle’s operability at the hearing, a standard the Court of Appeals rejected in </w:t>
      </w:r>
      <w:r>
        <w:rPr>
          <w:rFonts w:ascii="Times New Roman" w:cs="Times New Roman" w:eastAsia="Times New Roman" w:hAnsi="Times New Roman"/>
          <w:i/>
          <w:iCs/>
          <w:sz w:val="24"/>
          <w:szCs w:val="24"/>
        </w:rPr>
        <w:t xml:space="preserve">DaimlerChrysler</w:t>
      </w:r>
      <w:r>
        <w:rPr>
          <w:rFonts w:ascii="Times New Roman" w:cs="Times New Roman" w:eastAsia="Times New Roman" w:hAnsi="Times New Roman"/>
          <w:sz w:val="24"/>
          <w:szCs w:val="24"/>
        </w:rPr>
        <w:t xml:space="preserve">. And it excuses a four-month repair on the basis of a parts backorder that appears nowhere in the exclusive list of statutory extensions.</w:t>
      </w:r>
    </w:p>
    <w:p>
      <w:pPr>
        <w:spacing w:after="0" w:line="480"/>
        <w:ind w:firstLine="720"/>
        <w:jc w:val="both"/>
      </w:pPr>
      <w:r>
        <w:rPr>
          <w:rFonts w:ascii="Times New Roman" w:cs="Times New Roman" w:eastAsia="Times New Roman" w:hAnsi="Times New Roman"/>
          <w:sz w:val="24"/>
          <w:szCs w:val="24"/>
        </w:rPr>
        <w:t xml:space="preserve">An award may be wrong and still stand, where review is narrow. This review is not narrow. Because the arbitration was compulsory, the award must be supported by adequate evidence in the record and must be rational. </w:t>
      </w:r>
      <w:r>
        <w:rPr>
          <w:rFonts w:ascii="Times New Roman" w:cs="Times New Roman" w:eastAsia="Times New Roman" w:hAnsi="Times New Roman"/>
          <w:i/>
          <w:iCs/>
          <w:sz w:val="24"/>
          <w:szCs w:val="24"/>
        </w:rPr>
        <w:t xml:space="preserve">Motor Veh. Mfrs. Assn.</w:t>
      </w:r>
      <w:r>
        <w:rPr>
          <w:rFonts w:ascii="Times New Roman" w:cs="Times New Roman" w:eastAsia="Times New Roman" w:hAnsi="Times New Roman"/>
          <w:sz w:val="24"/>
          <w:szCs w:val="24"/>
        </w:rPr>
        <w:t xml:space="preserve">, 75 NY2d at 186; </w:t>
      </w:r>
      <w:r>
        <w:rPr>
          <w:rFonts w:ascii="Times New Roman" w:cs="Times New Roman" w:eastAsia="Times New Roman" w:hAnsi="Times New Roman"/>
          <w:i/>
          <w:iCs/>
          <w:sz w:val="24"/>
          <w:szCs w:val="24"/>
        </w:rPr>
        <w:t xml:space="preserve">Gurau</w:t>
      </w:r>
      <w:r>
        <w:rPr>
          <w:rFonts w:ascii="Times New Roman" w:cs="Times New Roman" w:eastAsia="Times New Roman" w:hAnsi="Times New Roman"/>
          <w:sz w:val="24"/>
          <w:szCs w:val="24"/>
        </w:rPr>
        <w:t xml:space="preserve">, 33 AD3d at 1151. It is neither.</w:t>
      </w:r>
    </w:p>
    <w:p>
      <w:pPr>
        <w:spacing w:after="0" w:line="480"/>
        <w:ind w:firstLine="720"/>
        <w:jc w:val="both"/>
      </w:pPr>
      <w:r>
        <w:rPr>
          <w:rFonts w:ascii="Times New Roman" w:cs="Times New Roman" w:eastAsia="Times New Roman" w:hAnsi="Times New Roman"/>
          <w:sz w:val="24"/>
          <w:szCs w:val="24"/>
        </w:rPr>
        <w:t xml:space="preserve">For the foregoing reasons, Petitioner respectfully requests that the Court vacate the arbitration award dated June 11, 2026 pursuant to CPLR 7511 (b) (1) (iii); remit the matter for rehearing before a different arbitrator or, in the alternative, grant such relief on the merits as the record permits; and grant such other and further relief as the Court deems just and proper.</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Dated:  New York, New York</w:t>
      </w:r>
    </w:p>
    <w:p>
      <w:pPr>
        <w:spacing w:after="0" w:line="240"/>
      </w:pPr>
      <w:r>
        <w:rPr>
          <w:rFonts w:ascii="Times New Roman" w:cs="Times New Roman" w:eastAsia="Times New Roman" w:hAnsi="Times New Roman"/>
          <w:sz w:val="24"/>
          <w:szCs w:val="24"/>
        </w:rPr>
        <w:t xml:space="preserve">             ____________________, 2026</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ind w:left="4680"/>
        <w:jc w:val="left"/>
      </w:pPr>
      <w:r>
        <w:rPr>
          <w:rFonts w:ascii="Times New Roman" w:cs="Times New Roman" w:eastAsia="Times New Roman" w:hAnsi="Times New Roman"/>
          <w:sz w:val="24"/>
          <w:szCs w:val="24"/>
        </w:rPr>
        <w:t xml:space="preserve">Respectfully submitted,</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ind w:left="4680"/>
      </w:pPr>
      <w:r>
        <w:rPr>
          <w:rFonts w:ascii="Times New Roman" w:cs="Times New Roman" w:eastAsia="Times New Roman" w:hAnsi="Times New Roman"/>
          <w:sz w:val="24"/>
          <w:szCs w:val="24"/>
        </w:rPr>
        <w:t xml:space="preserve">_______________________________</w:t>
      </w:r>
    </w:p>
    <w:p>
      <w:pPr>
        <w:spacing w:after="0" w:line="240"/>
        <w:ind w:left="4680"/>
      </w:pPr>
      <w:r>
        <w:rPr>
          <w:rFonts w:ascii="Times New Roman" w:cs="Times New Roman" w:eastAsia="Times New Roman" w:hAnsi="Times New Roman"/>
          <w:b/>
          <w:bCs/>
          <w:sz w:val="24"/>
          <w:szCs w:val="24"/>
        </w:rPr>
        <w:t xml:space="preserve">Jimmy Y. Hu</w:t>
      </w:r>
    </w:p>
    <w:p>
      <w:pPr>
        <w:spacing w:after="0" w:line="240"/>
        <w:ind w:left="4680"/>
      </w:pPr>
      <w:r>
        <w:rPr>
          <w:rFonts w:ascii="Times New Roman" w:cs="Times New Roman" w:eastAsia="Times New Roman" w:hAnsi="Times New Roman"/>
          <w:i/>
          <w:iCs/>
          <w:sz w:val="24"/>
          <w:szCs w:val="24"/>
        </w:rPr>
        <w:t xml:space="preserve">Petitioner, pro 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pPr>
      <w:r>
        <w:rPr>
          <w:rStyle w:val="FootnoteReference"/>
        </w:rPr>
        <w:footnoteRef/>
      </w:r>
      <w:r>
        <w:rPr>
          <w:rFonts w:ascii="Times New Roman" w:cs="Times New Roman" w:eastAsia="Times New Roman" w:hAnsi="Times New Roman"/>
          <w:sz w:val="20"/>
          <w:szCs w:val="20"/>
        </w:rPr>
        <w:t xml:space="preserve">The award identifies this repair order as </w:t>
      </w:r>
      <w:r>
        <w:rPr>
          <w:rFonts w:ascii="Times New Roman" w:cs="Times New Roman" w:eastAsia="Times New Roman" w:hAnsi="Times New Roman"/>
          <w:i/>
          <w:iCs/>
          <w:sz w:val="20"/>
          <w:szCs w:val="20"/>
        </w:rPr>
        <w:t xml:space="preserve">“RO 363888,”</w:t>
      </w:r>
      <w:r>
        <w:rPr>
          <w:rFonts w:ascii="Times New Roman" w:cs="Times New Roman" w:eastAsia="Times New Roman" w:hAnsi="Times New Roman"/>
          <w:sz w:val="20"/>
          <w:szCs w:val="20"/>
        </w:rPr>
        <w:t xml:space="preserve"> and elsewhere mistypes the April–August 2025 order as </w:t>
      </w:r>
      <w:r>
        <w:rPr>
          <w:rFonts w:ascii="Times New Roman" w:cs="Times New Roman" w:eastAsia="Times New Roman" w:hAnsi="Times New Roman"/>
          <w:i/>
          <w:iCs/>
          <w:sz w:val="20"/>
          <w:szCs w:val="20"/>
        </w:rPr>
        <w:t xml:space="preserve">“RO 258530”</w:t>
      </w:r>
      <w:r>
        <w:rPr>
          <w:rFonts w:ascii="Times New Roman" w:cs="Times New Roman" w:eastAsia="Times New Roman" w:hAnsi="Times New Roman"/>
          <w:sz w:val="20"/>
          <w:szCs w:val="20"/>
        </w:rPr>
        <w:t xml:space="preserve"> (the correct number is 358530). Respondent’s own records confirm that RO #363888 corresponds to an August 27–30, 2025 visit at 8,662 miles marked “NWP — NO WORK PERFORMED,” and that the February 2026 no-start was documented under Repair Order #370267, opened February 18, 2026 at 11,230 miles. That order records “VERIFIED NEEDS JUMP TO START. TOO DEAD TO COMPLETE GDS … BATTERY FAILED. REPLACED BATTERY,” and reflects replacement of the vehicle’s failed 12-volt battery (part no. 00275-18001); Exhibit 22 records that the replacement was completed under warranty. The award’s recitation of “mileage 8662” for this event is thus itself erroneous — a further instance of the conflation described in Point VI. </w:t>
      </w:r>
      <w:r>
        <w:rPr>
          <w:rFonts w:ascii="Times New Roman" w:cs="Times New Roman" w:eastAsia="Times New Roman" w:hAnsi="Times New Roman"/>
          <w:b/>
          <w:bCs/>
          <w:sz w:val="20"/>
          <w:szCs w:val="20"/>
        </w:rPr>
        <w:t xml:space="preserve">Confirmed against Respondent’s repair orders (Exhibit 4).</w:t>
      </w:r>
      <w:r>
        <w:rPr>
          <w:rFonts w:ascii="Times New Roman" w:cs="Times New Roman" w:eastAsia="Times New Roman" w:hAnsi="Times New Roman"/>
          <w:sz w:val="20"/>
          <w:szCs w:val="20"/>
        </w:rPr>
        <w:t xml:space="preserve"> The argument advanced herein does not depend on the repair-order number: the February 2026 event is established by date and by the technician’s own notations in Respondent’s records.</w:t>
      </w:r>
    </w:p>
  </w:footnote>
  <w:footnote w:id="2">
    <w:p>
      <w:pPr>
        <w:spacing w:line="240"/>
      </w:pPr>
      <w:r>
        <w:rPr>
          <w:rStyle w:val="FootnoteReference"/>
        </w:rPr>
        <w:footnoteRef/>
      </w:r>
      <w:r>
        <w:rPr>
          <w:rFonts w:ascii="Times New Roman" w:cs="Times New Roman" w:eastAsia="Times New Roman" w:hAnsi="Times New Roman"/>
          <w:sz w:val="20"/>
          <w:szCs w:val="20"/>
        </w:rPr>
        <w:t xml:space="preserve">The Attorney General’s form of award (Form ND-4) numbers the “Issues in Dispute” on page 1 differently from the “Arbitrator’s Findings” on page 3. The “continued to exist” issue appears as Issue No. 3 but as Finding No. 4; the “thirty days out of service” issue appears as Issue No. 4 but as Finding No. 3. Petitioner therefore identifies each finding herein by its operative language rather than by number alone, and respectfully suggests the Court do the same.</w:t>
      </w:r>
    </w:p>
  </w:footnote>
  <w:footnote w:id="3">
    <w:p>
      <w:pPr>
        <w:spacing w:line="240"/>
      </w:pPr>
      <w:r>
        <w:rPr>
          <w:rStyle w:val="FootnoteReference"/>
        </w:rPr>
        <w:footnoteRef/>
      </w:r>
      <w:r>
        <w:rPr>
          <w:rFonts w:ascii="Times New Roman" w:cs="Times New Roman" w:eastAsia="Times New Roman" w:hAnsi="Times New Roman"/>
          <w:sz w:val="20"/>
          <w:szCs w:val="20"/>
        </w:rPr>
        <w:t xml:space="preserve">Petitioner is presently self-represented. This memorandum is submitted in draft and is subject to review and revision by counsel should Petitioner retain counsel prior to filing.</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Law in Support of Petition to Vacate Arbitration Award (v2)</dc:title>
  <dc:creator>Jimmy Y. Hu</dc:creator>
  <cp:lastModifiedBy>Un-named</cp:lastModifiedBy>
  <cp:revision>1</cp:revision>
  <dcterms:created xsi:type="dcterms:W3CDTF">2026-07-18T04:57:01.473Z</dcterms:created>
  <dcterms:modified xsi:type="dcterms:W3CDTF">2026-07-18T04:57:01.490Z</dcterms:modified>
</cp:coreProperties>
</file>

<file path=docProps/custom.xml><?xml version="1.0" encoding="utf-8"?>
<Properties xmlns="http://schemas.openxmlformats.org/officeDocument/2006/custom-properties" xmlns:vt="http://schemas.openxmlformats.org/officeDocument/2006/docPropsVTypes"/>
</file>