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sway decisions only when they activate an alternative under which they matter, and the curiosity this stimulates tests that alternative, so the shift lasts only if evidence supports it. Yet cues consistent with several alternatives can stifle exploration of a promising one by dividing the evidence among them, even if the agent would never entertain the others. I illustrate how to stimulate curiosity about innovative development programs, pedagogies, and farming techniques, and analyze creativity and critical thinking through the lens of cognitive dimension reduction.</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