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microfounded evidence constraint that bounds motivated beliefs: an alternative’s weight is capped by its Bayesian posterior. Curiosity then arises endogenously as a drive to resolve model uncertainty created by evidence for an alternative. The model unifies classic belief-updating distortions with information-acquisition anomalies. It isolates new mechanisms for two effects central to memory models.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